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7FF3" w14:textId="37CCB1FB" w:rsidR="00FE70A0" w:rsidRDefault="00FE70A0">
      <w:pPr>
        <w:rPr>
          <w:rFonts w:cs="Arial"/>
        </w:rPr>
      </w:pPr>
      <w:r>
        <w:rPr>
          <w:rFonts w:cs="Arial"/>
        </w:rPr>
        <w:br w:type="page"/>
      </w:r>
    </w:p>
    <w:p w14:paraId="42D4B423" w14:textId="77777777" w:rsidR="005F45BF" w:rsidRPr="00305D0C" w:rsidRDefault="005F45BF">
      <w:pPr>
        <w:rPr>
          <w:rFonts w:cs="Arial"/>
        </w:rPr>
      </w:pPr>
    </w:p>
    <w:p w14:paraId="62594ADE" w14:textId="77777777" w:rsidR="005079DE" w:rsidRPr="00305D0C" w:rsidRDefault="005079DE">
      <w:pPr>
        <w:rPr>
          <w:rFonts w:cs="Arial"/>
        </w:rPr>
      </w:pPr>
    </w:p>
    <w:p w14:paraId="169A0C55" w14:textId="77777777" w:rsidR="005079DE" w:rsidRPr="00305D0C" w:rsidRDefault="005079DE">
      <w:pPr>
        <w:rPr>
          <w:rFonts w:cs="Arial"/>
        </w:rPr>
      </w:pPr>
    </w:p>
    <w:p w14:paraId="2ED7CFA7" w14:textId="5E6196AB" w:rsidR="005079DE" w:rsidRPr="00305D0C" w:rsidRDefault="00BE5DA9" w:rsidP="005079DE">
      <w:pPr>
        <w:spacing w:after="0" w:line="240" w:lineRule="auto"/>
        <w:jc w:val="center"/>
        <w:rPr>
          <w:rFonts w:cs="Arial"/>
          <w:sz w:val="72"/>
          <w:szCs w:val="72"/>
        </w:rPr>
      </w:pPr>
      <w:r>
        <w:rPr>
          <w:rFonts w:cs="Arial"/>
          <w:noProof/>
          <w:sz w:val="72"/>
          <w:szCs w:val="72"/>
          <w:lang w:eastAsia="en-GB"/>
        </w:rPr>
        <w:drawing>
          <wp:inline distT="0" distB="0" distL="0" distR="0" wp14:anchorId="60DE0106" wp14:editId="0294F1F6">
            <wp:extent cx="5731510" cy="1708150"/>
            <wp:effectExtent l="0" t="0" r="0" b="635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60B0B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72"/>
          <w:szCs w:val="72"/>
        </w:rPr>
      </w:pPr>
    </w:p>
    <w:p w14:paraId="22226284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72"/>
          <w:szCs w:val="72"/>
        </w:rPr>
      </w:pPr>
    </w:p>
    <w:p w14:paraId="1C2A1A4D" w14:textId="2549E3AD" w:rsidR="005079DE" w:rsidRPr="00305D0C" w:rsidRDefault="00C42F5A" w:rsidP="005079DE">
      <w:pPr>
        <w:spacing w:after="0" w:line="240" w:lineRule="auto"/>
        <w:jc w:val="center"/>
        <w:rPr>
          <w:rFonts w:cs="Arial"/>
          <w:sz w:val="72"/>
          <w:szCs w:val="72"/>
        </w:rPr>
      </w:pPr>
      <w:r>
        <w:rPr>
          <w:rFonts w:cs="Arial"/>
          <w:sz w:val="72"/>
          <w:szCs w:val="72"/>
        </w:rPr>
        <w:t>G</w:t>
      </w:r>
      <w:r w:rsidR="005079DE" w:rsidRPr="00305D0C">
        <w:rPr>
          <w:rFonts w:cs="Arial"/>
          <w:sz w:val="72"/>
          <w:szCs w:val="72"/>
        </w:rPr>
        <w:t xml:space="preserve">uide to </w:t>
      </w:r>
      <w:r>
        <w:rPr>
          <w:rFonts w:cs="Arial"/>
          <w:sz w:val="72"/>
          <w:szCs w:val="72"/>
        </w:rPr>
        <w:t>A</w:t>
      </w:r>
      <w:r w:rsidR="005079DE" w:rsidRPr="00305D0C">
        <w:rPr>
          <w:rFonts w:cs="Arial"/>
          <w:sz w:val="72"/>
          <w:szCs w:val="72"/>
        </w:rPr>
        <w:t>chieving</w:t>
      </w:r>
    </w:p>
    <w:p w14:paraId="163FC63B" w14:textId="27132A48" w:rsidR="005079DE" w:rsidRPr="00305D0C" w:rsidRDefault="005079DE" w:rsidP="005079DE">
      <w:pPr>
        <w:spacing w:after="0" w:line="240" w:lineRule="auto"/>
        <w:jc w:val="center"/>
        <w:rPr>
          <w:rFonts w:cs="Arial"/>
          <w:sz w:val="72"/>
          <w:szCs w:val="72"/>
        </w:rPr>
      </w:pPr>
      <w:r w:rsidRPr="00305D0C">
        <w:rPr>
          <w:rFonts w:cs="Arial"/>
          <w:sz w:val="72"/>
          <w:szCs w:val="72"/>
        </w:rPr>
        <w:t>Compassionate City Status</w:t>
      </w:r>
    </w:p>
    <w:p w14:paraId="27A47923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72"/>
          <w:szCs w:val="72"/>
        </w:rPr>
      </w:pPr>
    </w:p>
    <w:p w14:paraId="6BC7F3ED" w14:textId="7971CA66" w:rsidR="005079DE" w:rsidRPr="00305D0C" w:rsidRDefault="00BE5DA9" w:rsidP="005079DE">
      <w:pPr>
        <w:spacing w:after="0" w:line="240" w:lineRule="auto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February 2022</w:t>
      </w:r>
    </w:p>
    <w:p w14:paraId="70E5BE7C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32"/>
          <w:szCs w:val="32"/>
        </w:rPr>
      </w:pPr>
    </w:p>
    <w:p w14:paraId="38C990C3" w14:textId="77777777" w:rsidR="005079DE" w:rsidRPr="00305D0C" w:rsidRDefault="005079DE">
      <w:pPr>
        <w:rPr>
          <w:rFonts w:cs="Arial"/>
          <w:sz w:val="32"/>
          <w:szCs w:val="32"/>
        </w:rPr>
      </w:pPr>
      <w:r w:rsidRPr="00305D0C">
        <w:rPr>
          <w:rFonts w:cs="Arial"/>
          <w:sz w:val="32"/>
          <w:szCs w:val="32"/>
        </w:rPr>
        <w:br w:type="page"/>
      </w:r>
    </w:p>
    <w:p w14:paraId="27C34A1B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32"/>
          <w:szCs w:val="32"/>
        </w:rPr>
      </w:pPr>
    </w:p>
    <w:p w14:paraId="09FEA94E" w14:textId="77777777" w:rsidR="005079DE" w:rsidRPr="00D47A71" w:rsidRDefault="005079DE" w:rsidP="005079DE">
      <w:pPr>
        <w:spacing w:after="0" w:line="240" w:lineRule="auto"/>
        <w:rPr>
          <w:rFonts w:cs="Arial"/>
          <w:b/>
          <w:sz w:val="32"/>
          <w:szCs w:val="32"/>
        </w:rPr>
      </w:pPr>
      <w:r w:rsidRPr="00D47A71">
        <w:rPr>
          <w:rFonts w:cs="Arial"/>
          <w:b/>
          <w:sz w:val="32"/>
          <w:szCs w:val="32"/>
        </w:rPr>
        <w:t>Table of Contents</w:t>
      </w:r>
    </w:p>
    <w:p w14:paraId="09B1D15B" w14:textId="77777777" w:rsidR="005079DE" w:rsidRPr="00305D0C" w:rsidRDefault="005079DE" w:rsidP="005079DE">
      <w:pPr>
        <w:spacing w:after="0" w:line="240" w:lineRule="auto"/>
        <w:rPr>
          <w:rFonts w:cs="Arial"/>
          <w:sz w:val="32"/>
          <w:szCs w:val="32"/>
        </w:rPr>
      </w:pPr>
    </w:p>
    <w:sdt>
      <w:sdtPr>
        <w:rPr>
          <w:rFonts w:ascii="Arial" w:eastAsiaTheme="minorHAnsi" w:hAnsi="Arial" w:cs="Arial"/>
          <w:b w:val="0"/>
          <w:color w:val="auto"/>
          <w:sz w:val="22"/>
          <w:szCs w:val="22"/>
          <w:lang w:val="en-GB"/>
        </w:rPr>
        <w:id w:val="-981079690"/>
        <w:docPartObj>
          <w:docPartGallery w:val="Table of Contents"/>
          <w:docPartUnique/>
        </w:docPartObj>
      </w:sdtPr>
      <w:sdtEndPr>
        <w:rPr>
          <w:bCs/>
          <w:noProof/>
          <w:sz w:val="24"/>
        </w:rPr>
      </w:sdtEndPr>
      <w:sdtContent>
        <w:p w14:paraId="05B9567F" w14:textId="77777777" w:rsidR="005079DE" w:rsidRPr="00305D0C" w:rsidRDefault="005079DE">
          <w:pPr>
            <w:pStyle w:val="TOCHeading"/>
            <w:rPr>
              <w:rFonts w:ascii="Arial" w:hAnsi="Arial" w:cs="Arial"/>
            </w:rPr>
          </w:pPr>
        </w:p>
        <w:p w14:paraId="5FC59740" w14:textId="2D0BC166" w:rsidR="00BE5DA9" w:rsidRDefault="005079DE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r w:rsidRPr="00305D0C">
            <w:rPr>
              <w:rFonts w:cs="Arial"/>
            </w:rPr>
            <w:fldChar w:fldCharType="begin"/>
          </w:r>
          <w:r w:rsidRPr="00305D0C">
            <w:rPr>
              <w:rFonts w:cs="Arial"/>
            </w:rPr>
            <w:instrText xml:space="preserve"> TOC \o "1-3" \h \z \u </w:instrText>
          </w:r>
          <w:r w:rsidRPr="00305D0C">
            <w:rPr>
              <w:rFonts w:cs="Arial"/>
            </w:rPr>
            <w:fldChar w:fldCharType="separate"/>
          </w:r>
          <w:hyperlink w:anchor="_Toc95834967" w:history="1">
            <w:r w:rsidR="00BE5DA9" w:rsidRPr="0006294B">
              <w:rPr>
                <w:rStyle w:val="Hyperlink"/>
                <w:noProof/>
              </w:rPr>
              <w:t>1.</w:t>
            </w:r>
            <w:r w:rsidR="00BE5DA9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BE5DA9" w:rsidRPr="0006294B">
              <w:rPr>
                <w:rStyle w:val="Hyperlink"/>
                <w:noProof/>
              </w:rPr>
              <w:t>Introduction</w:t>
            </w:r>
            <w:r w:rsidR="00BE5DA9">
              <w:rPr>
                <w:noProof/>
                <w:webHidden/>
              </w:rPr>
              <w:tab/>
            </w:r>
            <w:r w:rsidR="00BE5DA9">
              <w:rPr>
                <w:noProof/>
                <w:webHidden/>
              </w:rPr>
              <w:fldChar w:fldCharType="begin"/>
            </w:r>
            <w:r w:rsidR="00BE5DA9">
              <w:rPr>
                <w:noProof/>
                <w:webHidden/>
              </w:rPr>
              <w:instrText xml:space="preserve"> PAGEREF _Toc95834967 \h </w:instrText>
            </w:r>
            <w:r w:rsidR="00BE5DA9">
              <w:rPr>
                <w:noProof/>
                <w:webHidden/>
              </w:rPr>
            </w:r>
            <w:r w:rsidR="00BE5DA9">
              <w:rPr>
                <w:noProof/>
                <w:webHidden/>
              </w:rPr>
              <w:fldChar w:fldCharType="separate"/>
            </w:r>
            <w:r w:rsidR="00BE5DA9">
              <w:rPr>
                <w:noProof/>
                <w:webHidden/>
              </w:rPr>
              <w:t>3</w:t>
            </w:r>
            <w:r w:rsidR="00BE5DA9">
              <w:rPr>
                <w:noProof/>
                <w:webHidden/>
              </w:rPr>
              <w:fldChar w:fldCharType="end"/>
            </w:r>
          </w:hyperlink>
        </w:p>
        <w:p w14:paraId="3A48517C" w14:textId="563FCB47" w:rsidR="00BE5DA9" w:rsidRDefault="00000000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95834968" w:history="1">
            <w:r w:rsidR="00BE5DA9" w:rsidRPr="0006294B">
              <w:rPr>
                <w:rStyle w:val="Hyperlink"/>
                <w:rFonts w:cs="Arial"/>
                <w:noProof/>
              </w:rPr>
              <w:t>2.</w:t>
            </w:r>
            <w:r w:rsidR="00BE5DA9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BE5DA9" w:rsidRPr="0006294B">
              <w:rPr>
                <w:rStyle w:val="Hyperlink"/>
                <w:rFonts w:cs="Arial"/>
                <w:noProof/>
              </w:rPr>
              <w:t>Who is Compassionate Communities UK</w:t>
            </w:r>
            <w:r w:rsidR="00BE5DA9">
              <w:rPr>
                <w:noProof/>
                <w:webHidden/>
              </w:rPr>
              <w:tab/>
            </w:r>
            <w:r w:rsidR="00BE5DA9">
              <w:rPr>
                <w:noProof/>
                <w:webHidden/>
              </w:rPr>
              <w:fldChar w:fldCharType="begin"/>
            </w:r>
            <w:r w:rsidR="00BE5DA9">
              <w:rPr>
                <w:noProof/>
                <w:webHidden/>
              </w:rPr>
              <w:instrText xml:space="preserve"> PAGEREF _Toc95834968 \h </w:instrText>
            </w:r>
            <w:r w:rsidR="00BE5DA9">
              <w:rPr>
                <w:noProof/>
                <w:webHidden/>
              </w:rPr>
            </w:r>
            <w:r w:rsidR="00BE5DA9">
              <w:rPr>
                <w:noProof/>
                <w:webHidden/>
              </w:rPr>
              <w:fldChar w:fldCharType="separate"/>
            </w:r>
            <w:r w:rsidR="00BE5DA9">
              <w:rPr>
                <w:noProof/>
                <w:webHidden/>
              </w:rPr>
              <w:t>3</w:t>
            </w:r>
            <w:r w:rsidR="00BE5DA9">
              <w:rPr>
                <w:noProof/>
                <w:webHidden/>
              </w:rPr>
              <w:fldChar w:fldCharType="end"/>
            </w:r>
          </w:hyperlink>
        </w:p>
        <w:p w14:paraId="036AD6B8" w14:textId="3F561126" w:rsidR="00BE5DA9" w:rsidRDefault="00000000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95834969" w:history="1">
            <w:r w:rsidR="00BE5DA9" w:rsidRPr="0006294B">
              <w:rPr>
                <w:rStyle w:val="Hyperlink"/>
                <w:noProof/>
              </w:rPr>
              <w:t>3.</w:t>
            </w:r>
            <w:r w:rsidR="00BE5DA9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BE5DA9" w:rsidRPr="0006294B">
              <w:rPr>
                <w:rStyle w:val="Hyperlink"/>
                <w:noProof/>
              </w:rPr>
              <w:t>Ethos</w:t>
            </w:r>
            <w:r w:rsidR="00BE5DA9">
              <w:rPr>
                <w:noProof/>
                <w:webHidden/>
              </w:rPr>
              <w:tab/>
            </w:r>
            <w:r w:rsidR="00BE5DA9">
              <w:rPr>
                <w:noProof/>
                <w:webHidden/>
              </w:rPr>
              <w:fldChar w:fldCharType="begin"/>
            </w:r>
            <w:r w:rsidR="00BE5DA9">
              <w:rPr>
                <w:noProof/>
                <w:webHidden/>
              </w:rPr>
              <w:instrText xml:space="preserve"> PAGEREF _Toc95834969 \h </w:instrText>
            </w:r>
            <w:r w:rsidR="00BE5DA9">
              <w:rPr>
                <w:noProof/>
                <w:webHidden/>
              </w:rPr>
            </w:r>
            <w:r w:rsidR="00BE5DA9">
              <w:rPr>
                <w:noProof/>
                <w:webHidden/>
              </w:rPr>
              <w:fldChar w:fldCharType="separate"/>
            </w:r>
            <w:r w:rsidR="00BE5DA9">
              <w:rPr>
                <w:noProof/>
                <w:webHidden/>
              </w:rPr>
              <w:t>3</w:t>
            </w:r>
            <w:r w:rsidR="00BE5DA9">
              <w:rPr>
                <w:noProof/>
                <w:webHidden/>
              </w:rPr>
              <w:fldChar w:fldCharType="end"/>
            </w:r>
          </w:hyperlink>
        </w:p>
        <w:p w14:paraId="34BC0E10" w14:textId="07069091" w:rsidR="00BE5DA9" w:rsidRDefault="00000000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95834970" w:history="1">
            <w:r w:rsidR="00BE5DA9" w:rsidRPr="0006294B">
              <w:rPr>
                <w:rStyle w:val="Hyperlink"/>
                <w:rFonts w:cs="Arial"/>
                <w:noProof/>
              </w:rPr>
              <w:t>4.</w:t>
            </w:r>
            <w:r w:rsidR="00BE5DA9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BE5DA9" w:rsidRPr="0006294B">
              <w:rPr>
                <w:rStyle w:val="Hyperlink"/>
                <w:rFonts w:cs="Arial"/>
                <w:noProof/>
              </w:rPr>
              <w:t>Getting Started</w:t>
            </w:r>
            <w:r w:rsidR="00BE5DA9">
              <w:rPr>
                <w:noProof/>
                <w:webHidden/>
              </w:rPr>
              <w:tab/>
            </w:r>
            <w:r w:rsidR="00BE5DA9">
              <w:rPr>
                <w:noProof/>
                <w:webHidden/>
              </w:rPr>
              <w:fldChar w:fldCharType="begin"/>
            </w:r>
            <w:r w:rsidR="00BE5DA9">
              <w:rPr>
                <w:noProof/>
                <w:webHidden/>
              </w:rPr>
              <w:instrText xml:space="preserve"> PAGEREF _Toc95834970 \h </w:instrText>
            </w:r>
            <w:r w:rsidR="00BE5DA9">
              <w:rPr>
                <w:noProof/>
                <w:webHidden/>
              </w:rPr>
            </w:r>
            <w:r w:rsidR="00BE5DA9">
              <w:rPr>
                <w:noProof/>
                <w:webHidden/>
              </w:rPr>
              <w:fldChar w:fldCharType="separate"/>
            </w:r>
            <w:r w:rsidR="00BE5DA9">
              <w:rPr>
                <w:noProof/>
                <w:webHidden/>
              </w:rPr>
              <w:t>4</w:t>
            </w:r>
            <w:r w:rsidR="00BE5DA9">
              <w:rPr>
                <w:noProof/>
                <w:webHidden/>
              </w:rPr>
              <w:fldChar w:fldCharType="end"/>
            </w:r>
          </w:hyperlink>
        </w:p>
        <w:p w14:paraId="2D743EA6" w14:textId="658D5923" w:rsidR="00BE5DA9" w:rsidRDefault="00000000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95834971" w:history="1">
            <w:r w:rsidR="00BE5DA9" w:rsidRPr="0006294B">
              <w:rPr>
                <w:rStyle w:val="Hyperlink"/>
                <w:rFonts w:cs="Arial"/>
                <w:noProof/>
              </w:rPr>
              <w:t>5.</w:t>
            </w:r>
            <w:r w:rsidR="00BE5DA9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BE5DA9" w:rsidRPr="0006294B">
              <w:rPr>
                <w:rStyle w:val="Hyperlink"/>
                <w:rFonts w:cs="Arial"/>
                <w:noProof/>
              </w:rPr>
              <w:t>Accreditation for prior commitment</w:t>
            </w:r>
            <w:r w:rsidR="00BE5DA9">
              <w:rPr>
                <w:noProof/>
                <w:webHidden/>
              </w:rPr>
              <w:tab/>
            </w:r>
            <w:r w:rsidR="00BE5DA9">
              <w:rPr>
                <w:noProof/>
                <w:webHidden/>
              </w:rPr>
              <w:fldChar w:fldCharType="begin"/>
            </w:r>
            <w:r w:rsidR="00BE5DA9">
              <w:rPr>
                <w:noProof/>
                <w:webHidden/>
              </w:rPr>
              <w:instrText xml:space="preserve"> PAGEREF _Toc95834971 \h </w:instrText>
            </w:r>
            <w:r w:rsidR="00BE5DA9">
              <w:rPr>
                <w:noProof/>
                <w:webHidden/>
              </w:rPr>
            </w:r>
            <w:r w:rsidR="00BE5DA9">
              <w:rPr>
                <w:noProof/>
                <w:webHidden/>
              </w:rPr>
              <w:fldChar w:fldCharType="separate"/>
            </w:r>
            <w:r w:rsidR="00BE5DA9">
              <w:rPr>
                <w:noProof/>
                <w:webHidden/>
              </w:rPr>
              <w:t>5</w:t>
            </w:r>
            <w:r w:rsidR="00BE5DA9">
              <w:rPr>
                <w:noProof/>
                <w:webHidden/>
              </w:rPr>
              <w:fldChar w:fldCharType="end"/>
            </w:r>
          </w:hyperlink>
        </w:p>
        <w:p w14:paraId="5F94410B" w14:textId="786C950C" w:rsidR="00BE5DA9" w:rsidRDefault="00000000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95834972" w:history="1">
            <w:r w:rsidR="00BE5DA9" w:rsidRPr="0006294B">
              <w:rPr>
                <w:rStyle w:val="Hyperlink"/>
                <w:rFonts w:cs="Arial"/>
                <w:noProof/>
              </w:rPr>
              <w:t>6.</w:t>
            </w:r>
            <w:r w:rsidR="00BE5DA9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BE5DA9" w:rsidRPr="0006294B">
              <w:rPr>
                <w:rStyle w:val="Hyperlink"/>
                <w:rFonts w:cs="Arial"/>
                <w:noProof/>
              </w:rPr>
              <w:t>The Charter Status</w:t>
            </w:r>
            <w:r w:rsidR="00BE5DA9">
              <w:rPr>
                <w:noProof/>
                <w:webHidden/>
              </w:rPr>
              <w:tab/>
            </w:r>
            <w:r w:rsidR="00BE5DA9">
              <w:rPr>
                <w:noProof/>
                <w:webHidden/>
              </w:rPr>
              <w:fldChar w:fldCharType="begin"/>
            </w:r>
            <w:r w:rsidR="00BE5DA9">
              <w:rPr>
                <w:noProof/>
                <w:webHidden/>
              </w:rPr>
              <w:instrText xml:space="preserve"> PAGEREF _Toc95834972 \h </w:instrText>
            </w:r>
            <w:r w:rsidR="00BE5DA9">
              <w:rPr>
                <w:noProof/>
                <w:webHidden/>
              </w:rPr>
            </w:r>
            <w:r w:rsidR="00BE5DA9">
              <w:rPr>
                <w:noProof/>
                <w:webHidden/>
              </w:rPr>
              <w:fldChar w:fldCharType="separate"/>
            </w:r>
            <w:r w:rsidR="00BE5DA9">
              <w:rPr>
                <w:noProof/>
                <w:webHidden/>
              </w:rPr>
              <w:t>5</w:t>
            </w:r>
            <w:r w:rsidR="00BE5DA9">
              <w:rPr>
                <w:noProof/>
                <w:webHidden/>
              </w:rPr>
              <w:fldChar w:fldCharType="end"/>
            </w:r>
          </w:hyperlink>
        </w:p>
        <w:p w14:paraId="55901B8F" w14:textId="0385F8CD" w:rsidR="00BE5DA9" w:rsidRDefault="00000000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95834973" w:history="1">
            <w:r w:rsidR="00BE5DA9" w:rsidRPr="0006294B">
              <w:rPr>
                <w:rStyle w:val="Hyperlink"/>
                <w:rFonts w:cs="Arial"/>
                <w:noProof/>
              </w:rPr>
              <w:t>7.</w:t>
            </w:r>
            <w:r w:rsidR="00BE5DA9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BE5DA9" w:rsidRPr="0006294B">
              <w:rPr>
                <w:rStyle w:val="Hyperlink"/>
                <w:rFonts w:cs="Arial"/>
                <w:noProof/>
              </w:rPr>
              <w:t>Press Coverage and Communication</w:t>
            </w:r>
            <w:r w:rsidR="00BE5DA9">
              <w:rPr>
                <w:noProof/>
                <w:webHidden/>
              </w:rPr>
              <w:tab/>
            </w:r>
            <w:r w:rsidR="00BE5DA9">
              <w:rPr>
                <w:noProof/>
                <w:webHidden/>
              </w:rPr>
              <w:fldChar w:fldCharType="begin"/>
            </w:r>
            <w:r w:rsidR="00BE5DA9">
              <w:rPr>
                <w:noProof/>
                <w:webHidden/>
              </w:rPr>
              <w:instrText xml:space="preserve"> PAGEREF _Toc95834973 \h </w:instrText>
            </w:r>
            <w:r w:rsidR="00BE5DA9">
              <w:rPr>
                <w:noProof/>
                <w:webHidden/>
              </w:rPr>
            </w:r>
            <w:r w:rsidR="00BE5DA9">
              <w:rPr>
                <w:noProof/>
                <w:webHidden/>
              </w:rPr>
              <w:fldChar w:fldCharType="separate"/>
            </w:r>
            <w:r w:rsidR="00BE5DA9">
              <w:rPr>
                <w:noProof/>
                <w:webHidden/>
              </w:rPr>
              <w:t>5</w:t>
            </w:r>
            <w:r w:rsidR="00BE5DA9">
              <w:rPr>
                <w:noProof/>
                <w:webHidden/>
              </w:rPr>
              <w:fldChar w:fldCharType="end"/>
            </w:r>
          </w:hyperlink>
        </w:p>
        <w:p w14:paraId="147E319E" w14:textId="1C6AFA86" w:rsidR="00BE5DA9" w:rsidRDefault="00000000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95834974" w:history="1">
            <w:r w:rsidR="00BE5DA9" w:rsidRPr="0006294B">
              <w:rPr>
                <w:rStyle w:val="Hyperlink"/>
                <w:rFonts w:cs="Arial"/>
                <w:noProof/>
              </w:rPr>
              <w:t>8.</w:t>
            </w:r>
            <w:r w:rsidR="00BE5DA9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BE5DA9" w:rsidRPr="0006294B">
              <w:rPr>
                <w:rStyle w:val="Hyperlink"/>
                <w:rFonts w:cs="Arial"/>
                <w:noProof/>
              </w:rPr>
              <w:t>Future Steps and Re-Accreditation</w:t>
            </w:r>
            <w:r w:rsidR="00BE5DA9">
              <w:rPr>
                <w:noProof/>
                <w:webHidden/>
              </w:rPr>
              <w:tab/>
            </w:r>
            <w:r w:rsidR="00BE5DA9">
              <w:rPr>
                <w:noProof/>
                <w:webHidden/>
              </w:rPr>
              <w:fldChar w:fldCharType="begin"/>
            </w:r>
            <w:r w:rsidR="00BE5DA9">
              <w:rPr>
                <w:noProof/>
                <w:webHidden/>
              </w:rPr>
              <w:instrText xml:space="preserve"> PAGEREF _Toc95834974 \h </w:instrText>
            </w:r>
            <w:r w:rsidR="00BE5DA9">
              <w:rPr>
                <w:noProof/>
                <w:webHidden/>
              </w:rPr>
            </w:r>
            <w:r w:rsidR="00BE5DA9">
              <w:rPr>
                <w:noProof/>
                <w:webHidden/>
              </w:rPr>
              <w:fldChar w:fldCharType="separate"/>
            </w:r>
            <w:r w:rsidR="00BE5DA9">
              <w:rPr>
                <w:noProof/>
                <w:webHidden/>
              </w:rPr>
              <w:t>5</w:t>
            </w:r>
            <w:r w:rsidR="00BE5DA9">
              <w:rPr>
                <w:noProof/>
                <w:webHidden/>
              </w:rPr>
              <w:fldChar w:fldCharType="end"/>
            </w:r>
          </w:hyperlink>
        </w:p>
        <w:p w14:paraId="484226C1" w14:textId="3FF64994" w:rsidR="00BE5DA9" w:rsidRDefault="00000000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95834975" w:history="1">
            <w:r w:rsidR="00BE5DA9" w:rsidRPr="0006294B">
              <w:rPr>
                <w:rStyle w:val="Hyperlink"/>
                <w:rFonts w:cs="Arial"/>
                <w:noProof/>
              </w:rPr>
              <w:t>9.</w:t>
            </w:r>
            <w:r w:rsidR="00BE5DA9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BE5DA9" w:rsidRPr="0006294B">
              <w:rPr>
                <w:rStyle w:val="Hyperlink"/>
                <w:rFonts w:cs="Arial"/>
                <w:noProof/>
              </w:rPr>
              <w:t>Appendix A – The Charter</w:t>
            </w:r>
            <w:r w:rsidR="00BE5DA9">
              <w:rPr>
                <w:noProof/>
                <w:webHidden/>
              </w:rPr>
              <w:tab/>
            </w:r>
            <w:r w:rsidR="00BE5DA9">
              <w:rPr>
                <w:noProof/>
                <w:webHidden/>
              </w:rPr>
              <w:fldChar w:fldCharType="begin"/>
            </w:r>
            <w:r w:rsidR="00BE5DA9">
              <w:rPr>
                <w:noProof/>
                <w:webHidden/>
              </w:rPr>
              <w:instrText xml:space="preserve"> PAGEREF _Toc95834975 \h </w:instrText>
            </w:r>
            <w:r w:rsidR="00BE5DA9">
              <w:rPr>
                <w:noProof/>
                <w:webHidden/>
              </w:rPr>
            </w:r>
            <w:r w:rsidR="00BE5DA9">
              <w:rPr>
                <w:noProof/>
                <w:webHidden/>
              </w:rPr>
              <w:fldChar w:fldCharType="separate"/>
            </w:r>
            <w:r w:rsidR="00BE5DA9">
              <w:rPr>
                <w:noProof/>
                <w:webHidden/>
              </w:rPr>
              <w:t>7</w:t>
            </w:r>
            <w:r w:rsidR="00BE5DA9">
              <w:rPr>
                <w:noProof/>
                <w:webHidden/>
              </w:rPr>
              <w:fldChar w:fldCharType="end"/>
            </w:r>
          </w:hyperlink>
        </w:p>
        <w:p w14:paraId="2CD5A856" w14:textId="27555218" w:rsidR="00BE5DA9" w:rsidRDefault="00000000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95834976" w:history="1">
            <w:r w:rsidR="00BE5DA9" w:rsidRPr="0006294B">
              <w:rPr>
                <w:rStyle w:val="Hyperlink"/>
                <w:rFonts w:cs="Arial"/>
                <w:noProof/>
              </w:rPr>
              <w:t>10.</w:t>
            </w:r>
            <w:r w:rsidR="00BE5DA9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BE5DA9" w:rsidRPr="0006294B">
              <w:rPr>
                <w:rStyle w:val="Hyperlink"/>
                <w:rFonts w:cs="Arial"/>
                <w:noProof/>
              </w:rPr>
              <w:t>Appendix B – Example of a development group</w:t>
            </w:r>
            <w:r w:rsidR="00BE5DA9">
              <w:rPr>
                <w:noProof/>
                <w:webHidden/>
              </w:rPr>
              <w:tab/>
            </w:r>
            <w:r w:rsidR="00BE5DA9">
              <w:rPr>
                <w:noProof/>
                <w:webHidden/>
              </w:rPr>
              <w:fldChar w:fldCharType="begin"/>
            </w:r>
            <w:r w:rsidR="00BE5DA9">
              <w:rPr>
                <w:noProof/>
                <w:webHidden/>
              </w:rPr>
              <w:instrText xml:space="preserve"> PAGEREF _Toc95834976 \h </w:instrText>
            </w:r>
            <w:r w:rsidR="00BE5DA9">
              <w:rPr>
                <w:noProof/>
                <w:webHidden/>
              </w:rPr>
            </w:r>
            <w:r w:rsidR="00BE5DA9">
              <w:rPr>
                <w:noProof/>
                <w:webHidden/>
              </w:rPr>
              <w:fldChar w:fldCharType="separate"/>
            </w:r>
            <w:r w:rsidR="00BE5DA9">
              <w:rPr>
                <w:noProof/>
                <w:webHidden/>
              </w:rPr>
              <w:t>7</w:t>
            </w:r>
            <w:r w:rsidR="00BE5DA9">
              <w:rPr>
                <w:noProof/>
                <w:webHidden/>
              </w:rPr>
              <w:fldChar w:fldCharType="end"/>
            </w:r>
          </w:hyperlink>
        </w:p>
        <w:p w14:paraId="1BA7A623" w14:textId="41AF47B4" w:rsidR="00BE5DA9" w:rsidRDefault="00000000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szCs w:val="24"/>
              <w:lang w:eastAsia="en-GB"/>
            </w:rPr>
          </w:pPr>
          <w:hyperlink w:anchor="_Toc95834977" w:history="1">
            <w:r w:rsidR="00BE5DA9" w:rsidRPr="0006294B">
              <w:rPr>
                <w:rStyle w:val="Hyperlink"/>
                <w:rFonts w:cs="Arial"/>
                <w:noProof/>
              </w:rPr>
              <w:t>11.</w:t>
            </w:r>
            <w:r w:rsidR="00BE5DA9">
              <w:rPr>
                <w:rFonts w:asciiTheme="minorHAnsi" w:eastAsiaTheme="minorEastAsia" w:hAnsiTheme="minorHAnsi"/>
                <w:noProof/>
                <w:szCs w:val="24"/>
                <w:lang w:eastAsia="en-GB"/>
              </w:rPr>
              <w:tab/>
            </w:r>
            <w:r w:rsidR="00BE5DA9" w:rsidRPr="0006294B">
              <w:rPr>
                <w:rStyle w:val="Hyperlink"/>
                <w:rFonts w:cs="Arial"/>
                <w:noProof/>
              </w:rPr>
              <w:t>Appendix C - Self-Assessment Form</w:t>
            </w:r>
            <w:r w:rsidR="00BE5DA9">
              <w:rPr>
                <w:noProof/>
                <w:webHidden/>
              </w:rPr>
              <w:tab/>
            </w:r>
            <w:r w:rsidR="00BE5DA9">
              <w:rPr>
                <w:noProof/>
                <w:webHidden/>
              </w:rPr>
              <w:fldChar w:fldCharType="begin"/>
            </w:r>
            <w:r w:rsidR="00BE5DA9">
              <w:rPr>
                <w:noProof/>
                <w:webHidden/>
              </w:rPr>
              <w:instrText xml:space="preserve"> PAGEREF _Toc95834977 \h </w:instrText>
            </w:r>
            <w:r w:rsidR="00BE5DA9">
              <w:rPr>
                <w:noProof/>
                <w:webHidden/>
              </w:rPr>
            </w:r>
            <w:r w:rsidR="00BE5DA9">
              <w:rPr>
                <w:noProof/>
                <w:webHidden/>
              </w:rPr>
              <w:fldChar w:fldCharType="separate"/>
            </w:r>
            <w:r w:rsidR="00BE5DA9">
              <w:rPr>
                <w:noProof/>
                <w:webHidden/>
              </w:rPr>
              <w:t>8</w:t>
            </w:r>
            <w:r w:rsidR="00BE5DA9">
              <w:rPr>
                <w:noProof/>
                <w:webHidden/>
              </w:rPr>
              <w:fldChar w:fldCharType="end"/>
            </w:r>
          </w:hyperlink>
        </w:p>
        <w:p w14:paraId="60BF273A" w14:textId="099D5DB7" w:rsidR="005079DE" w:rsidRPr="00305D0C" w:rsidRDefault="005079DE">
          <w:pPr>
            <w:rPr>
              <w:rFonts w:cs="Arial"/>
            </w:rPr>
          </w:pPr>
          <w:r w:rsidRPr="00305D0C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2050C892" w14:textId="77777777" w:rsidR="005079DE" w:rsidRPr="00305D0C" w:rsidRDefault="005079DE" w:rsidP="005079DE">
      <w:pPr>
        <w:spacing w:after="0" w:line="240" w:lineRule="auto"/>
        <w:rPr>
          <w:rFonts w:cs="Arial"/>
          <w:sz w:val="32"/>
          <w:szCs w:val="32"/>
        </w:rPr>
      </w:pPr>
    </w:p>
    <w:p w14:paraId="562B3D1D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32"/>
          <w:szCs w:val="32"/>
        </w:rPr>
      </w:pPr>
    </w:p>
    <w:p w14:paraId="53D46497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32"/>
          <w:szCs w:val="32"/>
        </w:rPr>
      </w:pPr>
    </w:p>
    <w:p w14:paraId="1623D3A5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32"/>
          <w:szCs w:val="32"/>
        </w:rPr>
      </w:pPr>
    </w:p>
    <w:p w14:paraId="777B0BCC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32"/>
          <w:szCs w:val="32"/>
        </w:rPr>
      </w:pPr>
    </w:p>
    <w:p w14:paraId="46808D6A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32"/>
          <w:szCs w:val="32"/>
        </w:rPr>
      </w:pPr>
    </w:p>
    <w:p w14:paraId="4CBE0289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32"/>
          <w:szCs w:val="32"/>
        </w:rPr>
      </w:pPr>
    </w:p>
    <w:p w14:paraId="3074123E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32"/>
          <w:szCs w:val="32"/>
        </w:rPr>
      </w:pPr>
    </w:p>
    <w:p w14:paraId="6FECB182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32"/>
          <w:szCs w:val="32"/>
        </w:rPr>
      </w:pPr>
    </w:p>
    <w:p w14:paraId="6662B206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32"/>
          <w:szCs w:val="32"/>
        </w:rPr>
      </w:pPr>
    </w:p>
    <w:p w14:paraId="73547C4C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32"/>
          <w:szCs w:val="32"/>
        </w:rPr>
      </w:pPr>
    </w:p>
    <w:p w14:paraId="0B3173F0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32"/>
          <w:szCs w:val="32"/>
        </w:rPr>
      </w:pPr>
    </w:p>
    <w:p w14:paraId="03396946" w14:textId="77777777" w:rsidR="005079DE" w:rsidRPr="00305D0C" w:rsidRDefault="005079DE" w:rsidP="005079DE">
      <w:pPr>
        <w:spacing w:after="0" w:line="240" w:lineRule="auto"/>
        <w:jc w:val="center"/>
        <w:rPr>
          <w:rFonts w:cs="Arial"/>
          <w:sz w:val="32"/>
          <w:szCs w:val="32"/>
        </w:rPr>
      </w:pPr>
    </w:p>
    <w:p w14:paraId="4C8866EA" w14:textId="77777777" w:rsidR="005079DE" w:rsidRPr="00305D0C" w:rsidRDefault="005079DE">
      <w:pPr>
        <w:rPr>
          <w:rFonts w:cs="Arial"/>
          <w:sz w:val="32"/>
          <w:szCs w:val="32"/>
        </w:rPr>
      </w:pPr>
      <w:r w:rsidRPr="00305D0C">
        <w:rPr>
          <w:rFonts w:cs="Arial"/>
          <w:sz w:val="32"/>
          <w:szCs w:val="32"/>
        </w:rPr>
        <w:br w:type="page"/>
      </w:r>
    </w:p>
    <w:p w14:paraId="27E0F99A" w14:textId="77777777" w:rsidR="005079DE" w:rsidRPr="00305D0C" w:rsidRDefault="005079DE" w:rsidP="00D47A71">
      <w:pPr>
        <w:pStyle w:val="Heading1"/>
      </w:pPr>
      <w:bookmarkStart w:id="0" w:name="_Toc95834967"/>
      <w:r w:rsidRPr="00305D0C">
        <w:lastRenderedPageBreak/>
        <w:t>Introduction</w:t>
      </w:r>
      <w:bookmarkEnd w:id="0"/>
    </w:p>
    <w:p w14:paraId="42275E1D" w14:textId="05302C90" w:rsidR="00D47A71" w:rsidRPr="00D47A71" w:rsidRDefault="00D47A71" w:rsidP="00D47A71">
      <w:pPr>
        <w:rPr>
          <w:rFonts w:cs="Arial"/>
          <w:szCs w:val="24"/>
        </w:rPr>
      </w:pPr>
      <w:r w:rsidRPr="00D47A71">
        <w:rPr>
          <w:rFonts w:cs="Arial"/>
          <w:szCs w:val="24"/>
        </w:rPr>
        <w:t>The Compassionate City Charter</w:t>
      </w:r>
      <w:r w:rsidR="00C42F5A">
        <w:rPr>
          <w:rFonts w:cs="Arial"/>
          <w:szCs w:val="24"/>
        </w:rPr>
        <w:t>,</w:t>
      </w:r>
      <w:r w:rsidRPr="00D47A71">
        <w:rPr>
          <w:rFonts w:cs="Arial"/>
          <w:szCs w:val="24"/>
        </w:rPr>
        <w:t xml:space="preserve"> created by Allan </w:t>
      </w:r>
      <w:proofErr w:type="spellStart"/>
      <w:r w:rsidRPr="00D47A71">
        <w:rPr>
          <w:rFonts w:cs="Arial"/>
          <w:szCs w:val="24"/>
        </w:rPr>
        <w:t>Kellehear</w:t>
      </w:r>
      <w:proofErr w:type="spellEnd"/>
      <w:r w:rsidRPr="00D47A71">
        <w:rPr>
          <w:rFonts w:cs="Arial"/>
          <w:szCs w:val="24"/>
        </w:rPr>
        <w:t xml:space="preserve"> is based on the principles of public health practice, of community engagement and development, prevention, harm reduction and early intervention. The principles can be found in his book “Compassionate Cities: Public Health and End of Life Care” (2005)</w:t>
      </w:r>
      <w:r w:rsidRPr="00D47A71">
        <w:rPr>
          <w:rStyle w:val="EndnoteReference"/>
          <w:rFonts w:cs="Arial"/>
          <w:szCs w:val="24"/>
        </w:rPr>
        <w:endnoteReference w:id="1"/>
      </w:r>
      <w:r w:rsidRPr="00D47A71">
        <w:rPr>
          <w:rFonts w:cs="Arial"/>
          <w:szCs w:val="24"/>
        </w:rPr>
        <w:t xml:space="preserve">.  The Charter is inclusive, from small neighbourhoods to cities and whole countries, where citizens can cooperate in civic responsibility, including responses to serious illness, death, dying, </w:t>
      </w:r>
      <w:proofErr w:type="gramStart"/>
      <w:r w:rsidRPr="00D47A71">
        <w:rPr>
          <w:rFonts w:cs="Arial"/>
          <w:szCs w:val="24"/>
        </w:rPr>
        <w:t>loss</w:t>
      </w:r>
      <w:proofErr w:type="gramEnd"/>
      <w:r w:rsidRPr="00D47A71">
        <w:rPr>
          <w:rFonts w:cs="Arial"/>
          <w:szCs w:val="24"/>
        </w:rPr>
        <w:t xml:space="preserve"> and care giving.  </w:t>
      </w:r>
    </w:p>
    <w:p w14:paraId="7649BF74" w14:textId="2D973128" w:rsidR="005079DE" w:rsidRDefault="005079DE" w:rsidP="005079DE">
      <w:pPr>
        <w:rPr>
          <w:rFonts w:cs="Arial"/>
          <w:szCs w:val="24"/>
        </w:rPr>
      </w:pPr>
      <w:r w:rsidRPr="00D47A71">
        <w:rPr>
          <w:rFonts w:cs="Arial"/>
          <w:szCs w:val="24"/>
        </w:rPr>
        <w:t>This guide aims to provide a practical approach to achieving the Charter Standard.</w:t>
      </w:r>
      <w:r w:rsidR="00DF1C3C" w:rsidRPr="00D47A71">
        <w:rPr>
          <w:rFonts w:cs="Arial"/>
          <w:szCs w:val="24"/>
        </w:rPr>
        <w:t xml:space="preserve">  It should be noted that the standards are not meant to be </w:t>
      </w:r>
      <w:proofErr w:type="gramStart"/>
      <w:r w:rsidR="00DF1C3C" w:rsidRPr="00D47A71">
        <w:rPr>
          <w:rFonts w:cs="Arial"/>
          <w:szCs w:val="24"/>
        </w:rPr>
        <w:t>prescriptive</w:t>
      </w:r>
      <w:proofErr w:type="gramEnd"/>
      <w:r w:rsidR="00DF1C3C" w:rsidRPr="00D47A71">
        <w:rPr>
          <w:rFonts w:cs="Arial"/>
          <w:szCs w:val="24"/>
        </w:rPr>
        <w:t xml:space="preserve"> and areas will have their own ideas as to how to demonstrate the achievement and ethos of the award.</w:t>
      </w:r>
    </w:p>
    <w:p w14:paraId="0E45AAF0" w14:textId="7C5EA412" w:rsidR="00BE5DA9" w:rsidRDefault="00BE5DA9" w:rsidP="00BE5DA9">
      <w:pPr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  <w:r w:rsidRPr="00BE5DA9">
        <w:rPr>
          <w:rFonts w:eastAsia="Times New Roman" w:cs="Arial"/>
          <w:color w:val="000000"/>
          <w:szCs w:val="24"/>
          <w:lang w:eastAsia="en-GB"/>
        </w:rPr>
        <w:t xml:space="preserve">The word 'city' comes from the Latin 'civets' originally meaning 'citizenship' or 'community member'. Therefore, whether a community is a parish or a city the principles and ethos of the Compassionate City Charter remains the same. The scale may be </w:t>
      </w:r>
      <w:proofErr w:type="gramStart"/>
      <w:r w:rsidRPr="00BE5DA9">
        <w:rPr>
          <w:rFonts w:eastAsia="Times New Roman" w:cs="Arial"/>
          <w:color w:val="000000"/>
          <w:szCs w:val="24"/>
          <w:lang w:eastAsia="en-GB"/>
        </w:rPr>
        <w:t>different</w:t>
      </w:r>
      <w:proofErr w:type="gramEnd"/>
      <w:r w:rsidRPr="00BE5DA9">
        <w:rPr>
          <w:rFonts w:eastAsia="Times New Roman" w:cs="Arial"/>
          <w:color w:val="000000"/>
          <w:szCs w:val="24"/>
          <w:lang w:eastAsia="en-GB"/>
        </w:rPr>
        <w:t xml:space="preserve"> and each area considers the charter from the perspective of their local community. We like embracing the origin of the word city as a way of uniting all of us as community members.</w:t>
      </w:r>
    </w:p>
    <w:p w14:paraId="1C458C59" w14:textId="77777777" w:rsidR="00BE5DA9" w:rsidRPr="00D47A71" w:rsidRDefault="00BE5DA9" w:rsidP="005079DE">
      <w:pPr>
        <w:rPr>
          <w:rFonts w:cs="Arial"/>
          <w:szCs w:val="24"/>
        </w:rPr>
      </w:pPr>
    </w:p>
    <w:p w14:paraId="0642BE74" w14:textId="77777777" w:rsidR="002A652C" w:rsidRPr="00305D0C" w:rsidRDefault="002A652C" w:rsidP="005079DE">
      <w:pPr>
        <w:pStyle w:val="Heading1"/>
        <w:rPr>
          <w:rFonts w:cs="Arial"/>
        </w:rPr>
      </w:pPr>
      <w:bookmarkStart w:id="1" w:name="_Toc95834968"/>
      <w:r w:rsidRPr="00305D0C">
        <w:rPr>
          <w:rFonts w:cs="Arial"/>
        </w:rPr>
        <w:t>Who is Compassionate Communities UK</w:t>
      </w:r>
      <w:bookmarkEnd w:id="1"/>
    </w:p>
    <w:p w14:paraId="49911E9D" w14:textId="50F0A4AF" w:rsidR="002A652C" w:rsidRPr="00305D0C" w:rsidRDefault="002A652C" w:rsidP="00D47A71">
      <w:r w:rsidRPr="00305D0C">
        <w:t xml:space="preserve">Compassionate Communities UK was formed in </w:t>
      </w:r>
      <w:r w:rsidR="00CB607C" w:rsidRPr="00305D0C">
        <w:t>2016 and is a dedicated team of</w:t>
      </w:r>
      <w:r w:rsidRPr="00305D0C">
        <w:t xml:space="preserve"> national and international leaders in the fields of Public Health Approach to P</w:t>
      </w:r>
      <w:r w:rsidR="00CB607C" w:rsidRPr="00305D0C">
        <w:t xml:space="preserve">alliative and End of Life care, </w:t>
      </w:r>
      <w:r w:rsidRPr="00305D0C">
        <w:t>community development</w:t>
      </w:r>
      <w:r w:rsidR="00CB607C" w:rsidRPr="00305D0C">
        <w:t>, palliative medicine, primary care, radical systems thinking, hospice care and institutional change.</w:t>
      </w:r>
    </w:p>
    <w:p w14:paraId="5F5048E5" w14:textId="59BA816F" w:rsidR="002A652C" w:rsidRPr="00305D0C" w:rsidRDefault="002A652C" w:rsidP="00D47A71">
      <w:r w:rsidRPr="00305D0C">
        <w:t xml:space="preserve">The Charity has </w:t>
      </w:r>
      <w:r w:rsidR="00CB607C" w:rsidRPr="00305D0C">
        <w:t>four</w:t>
      </w:r>
      <w:r w:rsidRPr="00305D0C">
        <w:t xml:space="preserve"> key </w:t>
      </w:r>
      <w:proofErr w:type="gramStart"/>
      <w:r w:rsidRPr="00305D0C">
        <w:t>strands:-</w:t>
      </w:r>
      <w:proofErr w:type="gramEnd"/>
    </w:p>
    <w:p w14:paraId="26096D8F" w14:textId="451ABB7B" w:rsidR="002A652C" w:rsidRPr="00305D0C" w:rsidRDefault="002A652C" w:rsidP="00D47A71">
      <w:pPr>
        <w:pStyle w:val="ListParagraph"/>
        <w:numPr>
          <w:ilvl w:val="0"/>
          <w:numId w:val="7"/>
        </w:numPr>
      </w:pPr>
      <w:r w:rsidRPr="00305D0C">
        <w:t xml:space="preserve">Advocating, </w:t>
      </w:r>
      <w:proofErr w:type="gramStart"/>
      <w:r w:rsidRPr="00305D0C">
        <w:t>supporting</w:t>
      </w:r>
      <w:proofErr w:type="gramEnd"/>
      <w:r w:rsidRPr="00305D0C">
        <w:t xml:space="preserve"> and</w:t>
      </w:r>
      <w:r w:rsidR="00305D0C" w:rsidRPr="00305D0C">
        <w:t xml:space="preserve"> overseeing</w:t>
      </w:r>
      <w:r w:rsidRPr="00305D0C">
        <w:t xml:space="preserve"> the accreditation of the Compassionate City Charter Status</w:t>
      </w:r>
    </w:p>
    <w:p w14:paraId="52BCBDCC" w14:textId="1B7A2520" w:rsidR="002A652C" w:rsidRPr="00305D0C" w:rsidRDefault="00DC2A7C" w:rsidP="00D47A71">
      <w:pPr>
        <w:pStyle w:val="ListParagraph"/>
        <w:numPr>
          <w:ilvl w:val="0"/>
          <w:numId w:val="7"/>
        </w:numPr>
      </w:pPr>
      <w:r w:rsidRPr="00305D0C">
        <w:t>Encouraging and supporting learning and development in the fields of compassion</w:t>
      </w:r>
      <w:r w:rsidR="00CB607C" w:rsidRPr="00305D0C">
        <w:t>, community development and public health approaches</w:t>
      </w:r>
    </w:p>
    <w:p w14:paraId="2DCA1374" w14:textId="77777777" w:rsidR="00DC2A7C" w:rsidRPr="00305D0C" w:rsidRDefault="00DC2A7C" w:rsidP="00D47A71">
      <w:pPr>
        <w:pStyle w:val="ListParagraph"/>
        <w:numPr>
          <w:ilvl w:val="0"/>
          <w:numId w:val="7"/>
        </w:numPr>
      </w:pPr>
      <w:r w:rsidRPr="00305D0C">
        <w:t>Providing expert consultancy</w:t>
      </w:r>
    </w:p>
    <w:p w14:paraId="3C590289" w14:textId="77777777" w:rsidR="00DC2A7C" w:rsidRPr="00305D0C" w:rsidRDefault="00DC2A7C" w:rsidP="00D47A71">
      <w:pPr>
        <w:pStyle w:val="ListParagraph"/>
        <w:numPr>
          <w:ilvl w:val="0"/>
          <w:numId w:val="7"/>
        </w:numPr>
      </w:pPr>
      <w:r w:rsidRPr="00305D0C">
        <w:t xml:space="preserve">Providing membership of a community of practice that learns together, develops an evidence base in order to challenge policy, accesses exclusive literature and content to develop a social movement for change in the fields of compassionate </w:t>
      </w:r>
      <w:proofErr w:type="gramStart"/>
      <w:r w:rsidRPr="00305D0C">
        <w:t>society</w:t>
      </w:r>
      <w:proofErr w:type="gramEnd"/>
    </w:p>
    <w:p w14:paraId="01D0384C" w14:textId="77777777" w:rsidR="005079DE" w:rsidRPr="00D47A71" w:rsidRDefault="005079DE" w:rsidP="00D47A71">
      <w:pPr>
        <w:pStyle w:val="Heading1"/>
      </w:pPr>
      <w:bookmarkStart w:id="2" w:name="_Toc95834969"/>
      <w:r w:rsidRPr="00D47A71">
        <w:t>Ethos</w:t>
      </w:r>
      <w:bookmarkEnd w:id="2"/>
    </w:p>
    <w:p w14:paraId="53818C3E" w14:textId="11ABD883" w:rsidR="00D47A71" w:rsidRPr="00D47A71" w:rsidRDefault="00D47A71" w:rsidP="00D47A71">
      <w:r w:rsidRPr="00D47A71">
        <w:t>The ethos of a public health approach is based on the principles of community development. It acknowledges the informal and formal role everyone has in end-of-life care as equal partners. Community development empowers the community to be pro-active members of creative supportive networks, rather than passive observers, and underpins and strengthens compassionate communities and cities. The de</w:t>
      </w:r>
      <w:r>
        <w:t>-</w:t>
      </w:r>
      <w:r w:rsidRPr="00D47A71">
        <w:t>medicalisation of death, dying and loss is to acknowledge that these experiences are social as well as medical events that affect us all.</w:t>
      </w:r>
    </w:p>
    <w:p w14:paraId="2C0C5AB5" w14:textId="14B02D9E" w:rsidR="005079DE" w:rsidRPr="00305D0C" w:rsidRDefault="00D80B8B" w:rsidP="005079DE">
      <w:pPr>
        <w:rPr>
          <w:rFonts w:cs="Arial"/>
        </w:rPr>
      </w:pPr>
      <w:r w:rsidRPr="00305D0C">
        <w:rPr>
          <w:rFonts w:cs="Arial"/>
        </w:rPr>
        <w:lastRenderedPageBreak/>
        <w:t>Levels of community participation can be understood as outlined in the spectrum of engagement in end-of-life care (</w:t>
      </w:r>
      <w:proofErr w:type="spellStart"/>
      <w:r w:rsidRPr="00305D0C">
        <w:rPr>
          <w:rFonts w:cs="Arial"/>
        </w:rPr>
        <w:t>Sallnow</w:t>
      </w:r>
      <w:proofErr w:type="spellEnd"/>
      <w:r w:rsidRPr="00305D0C">
        <w:rPr>
          <w:rFonts w:cs="Arial"/>
        </w:rPr>
        <w:t xml:space="preserve"> &amp; Paul 2015</w:t>
      </w:r>
      <w:r w:rsidR="00CB607C" w:rsidRPr="00305D0C">
        <w:rPr>
          <w:rStyle w:val="EndnoteReference"/>
          <w:rFonts w:cs="Arial"/>
        </w:rPr>
        <w:endnoteReference w:id="2"/>
      </w:r>
      <w:r w:rsidRPr="00305D0C">
        <w:rPr>
          <w:rFonts w:cs="Arial"/>
        </w:rPr>
        <w:t xml:space="preserve">). </w:t>
      </w:r>
      <w:r w:rsidR="00CB607C" w:rsidRPr="00305D0C">
        <w:rPr>
          <w:rFonts w:cs="Arial"/>
        </w:rPr>
        <w:t xml:space="preserve">  Unders</w:t>
      </w:r>
      <w:r w:rsidR="00D47A71">
        <w:rPr>
          <w:rFonts w:cs="Arial"/>
        </w:rPr>
        <w:t>tanding these levels is important</w:t>
      </w:r>
      <w:r w:rsidR="00CB607C" w:rsidRPr="00305D0C">
        <w:rPr>
          <w:rFonts w:cs="Arial"/>
        </w:rPr>
        <w:t xml:space="preserve"> to</w:t>
      </w:r>
      <w:r w:rsidR="00D47A71">
        <w:rPr>
          <w:rFonts w:cs="Arial"/>
        </w:rPr>
        <w:t xml:space="preserve"> be able to achieve the</w:t>
      </w:r>
      <w:r w:rsidR="00CB607C" w:rsidRPr="00305D0C">
        <w:rPr>
          <w:rFonts w:cs="Arial"/>
        </w:rPr>
        <w:t xml:space="preserve"> Charter Status.</w:t>
      </w:r>
    </w:p>
    <w:p w14:paraId="5DDC7440" w14:textId="77777777" w:rsidR="00AB4B56" w:rsidRPr="00305D0C" w:rsidRDefault="005079DE" w:rsidP="005079DE">
      <w:pPr>
        <w:pStyle w:val="Heading1"/>
        <w:rPr>
          <w:rFonts w:cs="Arial"/>
        </w:rPr>
      </w:pPr>
      <w:bookmarkStart w:id="3" w:name="_Toc95834970"/>
      <w:r w:rsidRPr="00305D0C">
        <w:rPr>
          <w:rFonts w:cs="Arial"/>
        </w:rPr>
        <w:t>Getting Started</w:t>
      </w:r>
      <w:bookmarkEnd w:id="3"/>
    </w:p>
    <w:p w14:paraId="6D64AE90" w14:textId="373AFD48" w:rsidR="00AB4B56" w:rsidRPr="00305D0C" w:rsidRDefault="00AB4B56" w:rsidP="005079DE">
      <w:pPr>
        <w:rPr>
          <w:rFonts w:cs="Arial"/>
        </w:rPr>
      </w:pPr>
      <w:r w:rsidRPr="00305D0C">
        <w:rPr>
          <w:rFonts w:cs="Arial"/>
        </w:rPr>
        <w:t>Most of the principles and steps to accreditation apply whe</w:t>
      </w:r>
      <w:r w:rsidR="00D47A71">
        <w:rPr>
          <w:rFonts w:cs="Arial"/>
        </w:rPr>
        <w:t xml:space="preserve">ther the aspiration is at City, </w:t>
      </w:r>
      <w:proofErr w:type="gramStart"/>
      <w:r w:rsidR="00D47A71">
        <w:rPr>
          <w:rFonts w:cs="Arial"/>
        </w:rPr>
        <w:t>Town</w:t>
      </w:r>
      <w:proofErr w:type="gramEnd"/>
      <w:r w:rsidR="00D47A71">
        <w:rPr>
          <w:rFonts w:cs="Arial"/>
        </w:rPr>
        <w:t xml:space="preserve"> or Place Based level</w:t>
      </w:r>
      <w:r w:rsidRPr="00305D0C">
        <w:rPr>
          <w:rFonts w:cs="Arial"/>
        </w:rPr>
        <w:t>.  There are some differences if the accreditation is at neighbourhood level.  These will be highlighted throughout this document.</w:t>
      </w:r>
    </w:p>
    <w:p w14:paraId="4A89B90E" w14:textId="6E7BD4FC" w:rsidR="005079DE" w:rsidRPr="00305D0C" w:rsidRDefault="005079DE" w:rsidP="005079DE">
      <w:pPr>
        <w:rPr>
          <w:rFonts w:cs="Arial"/>
        </w:rPr>
      </w:pPr>
      <w:r w:rsidRPr="00305D0C">
        <w:rPr>
          <w:rFonts w:cs="Arial"/>
        </w:rPr>
        <w:t xml:space="preserve">The key to starting this journey is to gather a range of support from across society, including councils, NHS, hospices, schools, </w:t>
      </w:r>
      <w:proofErr w:type="gramStart"/>
      <w:r w:rsidRPr="00305D0C">
        <w:rPr>
          <w:rFonts w:cs="Arial"/>
        </w:rPr>
        <w:t>employers</w:t>
      </w:r>
      <w:proofErr w:type="gramEnd"/>
      <w:r w:rsidRPr="00305D0C">
        <w:rPr>
          <w:rFonts w:cs="Arial"/>
        </w:rPr>
        <w:t xml:space="preserve"> and faith leaders.  </w:t>
      </w:r>
      <w:r w:rsidR="00D47A71">
        <w:rPr>
          <w:rFonts w:cs="Arial"/>
        </w:rPr>
        <w:t>T</w:t>
      </w:r>
      <w:r w:rsidRPr="00305D0C">
        <w:rPr>
          <w:rFonts w:cs="Arial"/>
        </w:rPr>
        <w:t xml:space="preserve">he ethos of the Charter </w:t>
      </w:r>
      <w:r w:rsidR="00D47A71">
        <w:rPr>
          <w:rFonts w:cs="Arial"/>
        </w:rPr>
        <w:t>should be embedded from the start</w:t>
      </w:r>
      <w:r w:rsidRPr="00305D0C">
        <w:rPr>
          <w:rFonts w:cs="Arial"/>
        </w:rPr>
        <w:t xml:space="preserve"> with the proactive and full involvement of citizens.</w:t>
      </w:r>
    </w:p>
    <w:p w14:paraId="7C7F311B" w14:textId="77777777" w:rsidR="00D47A71" w:rsidRDefault="00D47A71" w:rsidP="005079DE">
      <w:pPr>
        <w:rPr>
          <w:rFonts w:cs="Arial"/>
        </w:rPr>
      </w:pPr>
      <w:r>
        <w:rPr>
          <w:rFonts w:cs="Arial"/>
        </w:rPr>
        <w:t>Engagement from health and social care is an important aspect of wider involvement and their participation should be sort as soon as possible.</w:t>
      </w:r>
    </w:p>
    <w:p w14:paraId="64F361BB" w14:textId="3CFAE4CC" w:rsidR="00417A1E" w:rsidRPr="00305D0C" w:rsidRDefault="00D47A71" w:rsidP="005079DE">
      <w:pPr>
        <w:rPr>
          <w:rFonts w:cs="Arial"/>
        </w:rPr>
      </w:pPr>
      <w:r>
        <w:rPr>
          <w:rFonts w:cs="Arial"/>
        </w:rPr>
        <w:t xml:space="preserve">The following steps are </w:t>
      </w:r>
      <w:r w:rsidR="00417A1E" w:rsidRPr="00305D0C">
        <w:rPr>
          <w:rFonts w:cs="Arial"/>
        </w:rPr>
        <w:t xml:space="preserve">helpful in starting your work towards a Compassionate </w:t>
      </w:r>
      <w:r w:rsidR="00BE5DA9" w:rsidRPr="00305D0C">
        <w:rPr>
          <w:rFonts w:cs="Arial"/>
        </w:rPr>
        <w:t>City</w:t>
      </w:r>
      <w:r w:rsidR="00BE5DA9">
        <w:rPr>
          <w:rFonts w:cs="Arial"/>
        </w:rPr>
        <w:t xml:space="preserve"> </w:t>
      </w:r>
      <w:r w:rsidR="00BE5DA9" w:rsidRPr="00305D0C">
        <w:rPr>
          <w:rFonts w:cs="Arial"/>
        </w:rPr>
        <w:t>Charter</w:t>
      </w:r>
      <w:r w:rsidR="00417A1E" w:rsidRPr="00305D0C">
        <w:rPr>
          <w:rFonts w:cs="Arial"/>
        </w:rPr>
        <w:t>.</w:t>
      </w:r>
    </w:p>
    <w:p w14:paraId="67F924B7" w14:textId="14E23240" w:rsidR="00417A1E" w:rsidRPr="00D47A71" w:rsidRDefault="00D5346A" w:rsidP="00D47A71">
      <w:pPr>
        <w:pStyle w:val="ListParagraph"/>
        <w:numPr>
          <w:ilvl w:val="0"/>
          <w:numId w:val="8"/>
        </w:numPr>
        <w:spacing w:before="240" w:after="240"/>
        <w:rPr>
          <w:rFonts w:cs="Arial"/>
        </w:rPr>
      </w:pPr>
      <w:r w:rsidRPr="00D47A71">
        <w:rPr>
          <w:rFonts w:cs="Arial"/>
        </w:rPr>
        <w:t xml:space="preserve">Speak to a member of the </w:t>
      </w:r>
      <w:r w:rsidR="00552B8D">
        <w:rPr>
          <w:rFonts w:cs="Arial"/>
        </w:rPr>
        <w:t>CC-UK</w:t>
      </w:r>
      <w:r w:rsidRPr="00D47A71">
        <w:rPr>
          <w:rFonts w:cs="Arial"/>
        </w:rPr>
        <w:t xml:space="preserve"> team to talk through plans and current position</w:t>
      </w:r>
      <w:r w:rsidR="00AB4B56" w:rsidRPr="00D47A71">
        <w:rPr>
          <w:rFonts w:cs="Arial"/>
        </w:rPr>
        <w:br/>
      </w:r>
    </w:p>
    <w:p w14:paraId="5C025BE4" w14:textId="5FA221EB" w:rsidR="00AB4B56" w:rsidRPr="00D47A71" w:rsidRDefault="00305D0C" w:rsidP="00D47A71">
      <w:pPr>
        <w:pStyle w:val="ListParagraph"/>
        <w:numPr>
          <w:ilvl w:val="0"/>
          <w:numId w:val="8"/>
        </w:numPr>
        <w:spacing w:before="240" w:after="240"/>
        <w:rPr>
          <w:rFonts w:cs="Arial"/>
        </w:rPr>
      </w:pPr>
      <w:r w:rsidRPr="00D47A71">
        <w:rPr>
          <w:rFonts w:cs="Arial"/>
        </w:rPr>
        <w:t>Create a steering g</w:t>
      </w:r>
      <w:r w:rsidR="00417A1E" w:rsidRPr="00D47A71">
        <w:rPr>
          <w:rFonts w:cs="Arial"/>
        </w:rPr>
        <w:t>roup with members from across society</w:t>
      </w:r>
      <w:r w:rsidR="00AB4B56" w:rsidRPr="00D47A71">
        <w:rPr>
          <w:rFonts w:cs="Arial"/>
        </w:rPr>
        <w:br/>
      </w:r>
    </w:p>
    <w:p w14:paraId="618C2ABE" w14:textId="71C047B5" w:rsidR="00417A1E" w:rsidRPr="00D47A71" w:rsidRDefault="00305D0C" w:rsidP="00D47A71">
      <w:pPr>
        <w:pStyle w:val="ListParagraph"/>
        <w:numPr>
          <w:ilvl w:val="0"/>
          <w:numId w:val="8"/>
        </w:numPr>
        <w:spacing w:before="240" w:after="240"/>
        <w:rPr>
          <w:rFonts w:cs="Arial"/>
        </w:rPr>
      </w:pPr>
      <w:r w:rsidRPr="00D47A71">
        <w:rPr>
          <w:rFonts w:cs="Arial"/>
        </w:rPr>
        <w:t>Create a development g</w:t>
      </w:r>
      <w:r w:rsidR="00AB4B56" w:rsidRPr="00D47A71">
        <w:rPr>
          <w:rFonts w:cs="Arial"/>
        </w:rPr>
        <w:t>roup who wi</w:t>
      </w:r>
      <w:r w:rsidRPr="00D47A71">
        <w:rPr>
          <w:rFonts w:cs="Arial"/>
        </w:rPr>
        <w:t>ll be actively coproducing the charter action p</w:t>
      </w:r>
      <w:r w:rsidR="00AB4B56" w:rsidRPr="00D47A71">
        <w:rPr>
          <w:rFonts w:cs="Arial"/>
        </w:rPr>
        <w:t xml:space="preserve">lan (see Appendix </w:t>
      </w:r>
      <w:r w:rsidRPr="00D47A71">
        <w:rPr>
          <w:rFonts w:cs="Arial"/>
        </w:rPr>
        <w:t>B</w:t>
      </w:r>
      <w:r w:rsidR="00AB4B56" w:rsidRPr="00D47A71">
        <w:rPr>
          <w:rFonts w:cs="Arial"/>
        </w:rPr>
        <w:t xml:space="preserve"> for an example of the make-up of a development group)</w:t>
      </w:r>
      <w:r w:rsidR="00AB4B56" w:rsidRPr="00D47A71">
        <w:rPr>
          <w:rFonts w:cs="Arial"/>
        </w:rPr>
        <w:br/>
      </w:r>
    </w:p>
    <w:p w14:paraId="5950B0F6" w14:textId="0FA5B42A" w:rsidR="00AB4B56" w:rsidRPr="00D47A71" w:rsidRDefault="00AB4B56" w:rsidP="00D47A71">
      <w:pPr>
        <w:pStyle w:val="ListParagraph"/>
        <w:numPr>
          <w:ilvl w:val="0"/>
          <w:numId w:val="8"/>
        </w:numPr>
        <w:spacing w:before="240" w:after="240"/>
        <w:rPr>
          <w:rFonts w:cs="Arial"/>
        </w:rPr>
      </w:pPr>
      <w:r w:rsidRPr="00D47A71">
        <w:rPr>
          <w:rFonts w:cs="Arial"/>
        </w:rPr>
        <w:t>S</w:t>
      </w:r>
      <w:r w:rsidR="00D5346A" w:rsidRPr="00D47A71">
        <w:rPr>
          <w:rFonts w:cs="Arial"/>
        </w:rPr>
        <w:t xml:space="preserve">ign up to the </w:t>
      </w:r>
      <w:r w:rsidR="00552B8D">
        <w:rPr>
          <w:rFonts w:cs="Arial"/>
        </w:rPr>
        <w:t>CC-UK</w:t>
      </w:r>
      <w:r w:rsidR="00D5346A" w:rsidRPr="00D47A71">
        <w:rPr>
          <w:rFonts w:cs="Arial"/>
        </w:rPr>
        <w:t xml:space="preserve"> Development </w:t>
      </w:r>
      <w:r w:rsidRPr="00D47A71">
        <w:rPr>
          <w:rFonts w:cs="Arial"/>
        </w:rPr>
        <w:t xml:space="preserve">Workshops (discuss this with </w:t>
      </w:r>
      <w:r w:rsidR="00552B8D">
        <w:rPr>
          <w:rFonts w:cs="Arial"/>
        </w:rPr>
        <w:t>CC-UK</w:t>
      </w:r>
      <w:r w:rsidRPr="00D47A71">
        <w:rPr>
          <w:rFonts w:cs="Arial"/>
        </w:rPr>
        <w:t xml:space="preserve"> if accreditation is at neighbourhood level)</w:t>
      </w:r>
      <w:r w:rsidRPr="00D47A71">
        <w:rPr>
          <w:rFonts w:cs="Arial"/>
        </w:rPr>
        <w:br/>
      </w:r>
    </w:p>
    <w:p w14:paraId="07A1A377" w14:textId="6F7EBE0B" w:rsidR="00AB4B56" w:rsidRPr="00D47A71" w:rsidRDefault="00AB4B56" w:rsidP="00D47A71">
      <w:pPr>
        <w:pStyle w:val="ListParagraph"/>
        <w:numPr>
          <w:ilvl w:val="0"/>
          <w:numId w:val="8"/>
        </w:numPr>
        <w:spacing w:before="240" w:after="240"/>
        <w:rPr>
          <w:rFonts w:cs="Arial"/>
        </w:rPr>
      </w:pPr>
      <w:r w:rsidRPr="00D47A71">
        <w:rPr>
          <w:rFonts w:cs="Arial"/>
        </w:rPr>
        <w:t>Review the se</w:t>
      </w:r>
      <w:r w:rsidR="00305D0C" w:rsidRPr="00D47A71">
        <w:rPr>
          <w:rFonts w:cs="Arial"/>
        </w:rPr>
        <w:t>lf-assessment matrix (Appendix C</w:t>
      </w:r>
      <w:r w:rsidRPr="00D47A71">
        <w:rPr>
          <w:rFonts w:cs="Arial"/>
        </w:rPr>
        <w:t>) to consider existing activity that can be described as part of the evidence towards accreditation.  Remember this needs to be in the spirit of Comp</w:t>
      </w:r>
      <w:r w:rsidR="00D47A71" w:rsidRPr="00D47A71">
        <w:rPr>
          <w:rFonts w:cs="Arial"/>
        </w:rPr>
        <w:t xml:space="preserve">assionate Communities and may </w:t>
      </w:r>
      <w:r w:rsidRPr="00D47A71">
        <w:rPr>
          <w:rFonts w:cs="Arial"/>
        </w:rPr>
        <w:t>need to be reviewed.</w:t>
      </w:r>
      <w:r w:rsidRPr="00D47A71">
        <w:rPr>
          <w:rFonts w:cs="Arial"/>
        </w:rPr>
        <w:br/>
      </w:r>
    </w:p>
    <w:p w14:paraId="5F08B464" w14:textId="4710187B" w:rsidR="00AB4B56" w:rsidRPr="00D47A71" w:rsidRDefault="00305D0C" w:rsidP="00D47A71">
      <w:pPr>
        <w:pStyle w:val="ListParagraph"/>
        <w:numPr>
          <w:ilvl w:val="0"/>
          <w:numId w:val="8"/>
        </w:numPr>
        <w:spacing w:before="240" w:after="240"/>
        <w:rPr>
          <w:rFonts w:cs="Arial"/>
        </w:rPr>
      </w:pPr>
      <w:r w:rsidRPr="00D47A71">
        <w:rPr>
          <w:rFonts w:cs="Arial"/>
        </w:rPr>
        <w:t>Co-produce an action p</w:t>
      </w:r>
      <w:r w:rsidR="00AB4B56" w:rsidRPr="00D47A71">
        <w:rPr>
          <w:rFonts w:cs="Arial"/>
        </w:rPr>
        <w:t>lan</w:t>
      </w:r>
      <w:r w:rsidR="00AB4B56" w:rsidRPr="00D47A71">
        <w:rPr>
          <w:rFonts w:cs="Arial"/>
        </w:rPr>
        <w:br/>
      </w:r>
    </w:p>
    <w:p w14:paraId="6BFD47F4" w14:textId="2E938588" w:rsidR="00AB4B56" w:rsidRPr="00D47A71" w:rsidRDefault="00AB4B56" w:rsidP="00D47A71">
      <w:pPr>
        <w:pStyle w:val="ListParagraph"/>
        <w:numPr>
          <w:ilvl w:val="0"/>
          <w:numId w:val="8"/>
        </w:numPr>
        <w:spacing w:before="240" w:after="240"/>
        <w:rPr>
          <w:rFonts w:cs="Arial"/>
        </w:rPr>
      </w:pPr>
      <w:r w:rsidRPr="00D47A71">
        <w:rPr>
          <w:rFonts w:cs="Arial"/>
        </w:rPr>
        <w:t xml:space="preserve">Contact </w:t>
      </w:r>
      <w:r w:rsidR="00552B8D">
        <w:rPr>
          <w:rFonts w:cs="Arial"/>
        </w:rPr>
        <w:t>CC-UK</w:t>
      </w:r>
      <w:r w:rsidRPr="00D47A71">
        <w:rPr>
          <w:rFonts w:cs="Arial"/>
        </w:rPr>
        <w:t xml:space="preserve"> for advice along the way and for any additional development or consultancy</w:t>
      </w:r>
      <w:r w:rsidRPr="00D47A71">
        <w:rPr>
          <w:rFonts w:cs="Arial"/>
        </w:rPr>
        <w:br/>
      </w:r>
    </w:p>
    <w:p w14:paraId="6EBE3D7F" w14:textId="77777777" w:rsidR="00AB4B56" w:rsidRPr="00D47A71" w:rsidRDefault="00AB4B56" w:rsidP="00D47A71">
      <w:pPr>
        <w:pStyle w:val="ListParagraph"/>
        <w:numPr>
          <w:ilvl w:val="0"/>
          <w:numId w:val="8"/>
        </w:numPr>
        <w:spacing w:before="240" w:after="240"/>
        <w:rPr>
          <w:rFonts w:cs="Arial"/>
        </w:rPr>
      </w:pPr>
      <w:r w:rsidRPr="00D47A71">
        <w:rPr>
          <w:rFonts w:cs="Arial"/>
        </w:rPr>
        <w:t xml:space="preserve">Complete the self-assessment matrix </w:t>
      </w:r>
      <w:r w:rsidRPr="00D47A71">
        <w:rPr>
          <w:rFonts w:cs="Arial"/>
        </w:rPr>
        <w:br/>
      </w:r>
    </w:p>
    <w:p w14:paraId="134A13AC" w14:textId="1A6AE483" w:rsidR="00AB4B56" w:rsidRPr="00D47A71" w:rsidRDefault="00305D0C" w:rsidP="00D47A71">
      <w:pPr>
        <w:pStyle w:val="ListParagraph"/>
        <w:numPr>
          <w:ilvl w:val="0"/>
          <w:numId w:val="8"/>
        </w:numPr>
        <w:spacing w:before="240" w:after="240"/>
        <w:rPr>
          <w:rFonts w:cs="Arial"/>
        </w:rPr>
      </w:pPr>
      <w:r w:rsidRPr="00D47A71">
        <w:rPr>
          <w:rFonts w:cs="Arial"/>
        </w:rPr>
        <w:t xml:space="preserve">Contact </w:t>
      </w:r>
      <w:r w:rsidR="00552B8D">
        <w:rPr>
          <w:rFonts w:cs="Arial"/>
        </w:rPr>
        <w:t>CC-UK</w:t>
      </w:r>
      <w:r w:rsidRPr="00D47A71">
        <w:rPr>
          <w:rFonts w:cs="Arial"/>
        </w:rPr>
        <w:t xml:space="preserve"> once the steering g</w:t>
      </w:r>
      <w:r w:rsidR="00AB4B56" w:rsidRPr="00D47A71">
        <w:rPr>
          <w:rFonts w:cs="Arial"/>
        </w:rPr>
        <w:t>roup feel ready for accreditation</w:t>
      </w:r>
      <w:r w:rsidR="00AB4B56" w:rsidRPr="00D47A71">
        <w:rPr>
          <w:rFonts w:cs="Arial"/>
        </w:rPr>
        <w:br/>
      </w:r>
    </w:p>
    <w:p w14:paraId="1BE15B91" w14:textId="258C09A2" w:rsidR="00AB4B56" w:rsidRPr="00D47A71" w:rsidRDefault="00C42F5A" w:rsidP="00D47A71">
      <w:pPr>
        <w:pStyle w:val="ListParagraph"/>
        <w:numPr>
          <w:ilvl w:val="0"/>
          <w:numId w:val="8"/>
        </w:numPr>
        <w:spacing w:before="240" w:after="240"/>
        <w:rPr>
          <w:rFonts w:cs="Arial"/>
        </w:rPr>
      </w:pPr>
      <w:r>
        <w:rPr>
          <w:rFonts w:cs="Arial"/>
        </w:rPr>
        <w:t xml:space="preserve">The </w:t>
      </w:r>
      <w:r w:rsidR="00552B8D">
        <w:rPr>
          <w:rFonts w:cs="Arial"/>
        </w:rPr>
        <w:t>CC-UK</w:t>
      </w:r>
      <w:r w:rsidR="00AB4B56" w:rsidRPr="00D47A71">
        <w:rPr>
          <w:rFonts w:cs="Arial"/>
        </w:rPr>
        <w:t xml:space="preserve"> Board members will review the self-assessment matrix, conduct an </w:t>
      </w:r>
      <w:proofErr w:type="gramStart"/>
      <w:r w:rsidR="00AB4B56" w:rsidRPr="00D47A71">
        <w:rPr>
          <w:rFonts w:cs="Arial"/>
        </w:rPr>
        <w:t>in</w:t>
      </w:r>
      <w:r w:rsidR="00305D0C" w:rsidRPr="00D47A71">
        <w:rPr>
          <w:rFonts w:cs="Arial"/>
        </w:rPr>
        <w:t>terview</w:t>
      </w:r>
      <w:proofErr w:type="gramEnd"/>
      <w:r w:rsidR="00305D0C" w:rsidRPr="00D47A71">
        <w:rPr>
          <w:rFonts w:cs="Arial"/>
        </w:rPr>
        <w:t xml:space="preserve"> and ask members of the steering group or development g</w:t>
      </w:r>
      <w:r w:rsidR="00AB4B56" w:rsidRPr="00D47A71">
        <w:rPr>
          <w:rFonts w:cs="Arial"/>
        </w:rPr>
        <w:t xml:space="preserve">roup to present to a </w:t>
      </w:r>
      <w:r w:rsidR="00552B8D">
        <w:rPr>
          <w:rFonts w:cs="Arial"/>
        </w:rPr>
        <w:t>CC-UK</w:t>
      </w:r>
      <w:r w:rsidR="00AB4B56" w:rsidRPr="00D47A71">
        <w:rPr>
          <w:rFonts w:cs="Arial"/>
        </w:rPr>
        <w:t xml:space="preserve"> Board meeting</w:t>
      </w:r>
      <w:r w:rsidR="00AB4B56" w:rsidRPr="00D47A71">
        <w:rPr>
          <w:rFonts w:cs="Arial"/>
        </w:rPr>
        <w:br/>
      </w:r>
    </w:p>
    <w:p w14:paraId="2F82985A" w14:textId="22EDC1AB" w:rsidR="00D5346A" w:rsidRPr="00D47A71" w:rsidRDefault="00AB4B56" w:rsidP="00D47A71">
      <w:pPr>
        <w:pStyle w:val="ListParagraph"/>
        <w:numPr>
          <w:ilvl w:val="0"/>
          <w:numId w:val="8"/>
        </w:numPr>
        <w:spacing w:before="240" w:after="240"/>
        <w:rPr>
          <w:rFonts w:cs="Arial"/>
        </w:rPr>
      </w:pPr>
      <w:r w:rsidRPr="00D47A71">
        <w:rPr>
          <w:rFonts w:cs="Arial"/>
        </w:rPr>
        <w:lastRenderedPageBreak/>
        <w:t xml:space="preserve">A decision will be made as to whether to award the accreditation or to advice on further steps (it should be noted that this is a </w:t>
      </w:r>
      <w:r w:rsidR="00BE5DA9" w:rsidRPr="00D47A71">
        <w:rPr>
          <w:rFonts w:cs="Arial"/>
        </w:rPr>
        <w:t>long-term</w:t>
      </w:r>
      <w:r w:rsidRPr="00D47A71">
        <w:rPr>
          <w:rFonts w:cs="Arial"/>
        </w:rPr>
        <w:t xml:space="preserve"> commitment and without evidence of future activity, accreditation will not be awarded).</w:t>
      </w:r>
      <w:r w:rsidRPr="00D47A71">
        <w:rPr>
          <w:rFonts w:cs="Arial"/>
        </w:rPr>
        <w:br/>
      </w:r>
    </w:p>
    <w:p w14:paraId="401B83E5" w14:textId="77777777" w:rsidR="00992C7A" w:rsidRPr="00305D0C" w:rsidRDefault="00992C7A" w:rsidP="006B3D07">
      <w:pPr>
        <w:pStyle w:val="Heading1"/>
        <w:rPr>
          <w:rFonts w:cs="Arial"/>
        </w:rPr>
      </w:pPr>
      <w:bookmarkStart w:id="4" w:name="_Toc95834971"/>
      <w:r w:rsidRPr="00305D0C">
        <w:rPr>
          <w:rFonts w:cs="Arial"/>
        </w:rPr>
        <w:t>Accreditation for prior commitment</w:t>
      </w:r>
      <w:bookmarkEnd w:id="4"/>
    </w:p>
    <w:p w14:paraId="7A9FC1CD" w14:textId="2640D1FA" w:rsidR="00992C7A" w:rsidRPr="00305D0C" w:rsidRDefault="00992C7A" w:rsidP="00992C7A">
      <w:pPr>
        <w:rPr>
          <w:rFonts w:cs="Arial"/>
        </w:rPr>
      </w:pPr>
      <w:r w:rsidRPr="00305D0C">
        <w:rPr>
          <w:rFonts w:cs="Arial"/>
        </w:rPr>
        <w:t xml:space="preserve">There are occasions when, particularly at neighbourhood level, there is sufficient evidence of commitment and activity within the ethos of a compassionate community.  In this </w:t>
      </w:r>
      <w:r w:rsidR="00BE5DA9" w:rsidRPr="00305D0C">
        <w:rPr>
          <w:rFonts w:cs="Arial"/>
        </w:rPr>
        <w:t>instance: -</w:t>
      </w:r>
    </w:p>
    <w:p w14:paraId="5DDADEF7" w14:textId="1FC423E3" w:rsidR="00992C7A" w:rsidRPr="00D47A71" w:rsidRDefault="00992C7A" w:rsidP="00D47A71">
      <w:pPr>
        <w:pStyle w:val="ListParagraph"/>
        <w:numPr>
          <w:ilvl w:val="0"/>
          <w:numId w:val="9"/>
        </w:numPr>
        <w:rPr>
          <w:rFonts w:cs="Arial"/>
        </w:rPr>
      </w:pPr>
      <w:r w:rsidRPr="00D47A71">
        <w:rPr>
          <w:rFonts w:cs="Arial"/>
        </w:rPr>
        <w:t>Review the self-assessment matrix (remember it is a guide, no</w:t>
      </w:r>
      <w:r w:rsidR="00BE5DA9">
        <w:rPr>
          <w:rFonts w:cs="Arial"/>
        </w:rPr>
        <w:t>t</w:t>
      </w:r>
      <w:r w:rsidRPr="00D47A71">
        <w:rPr>
          <w:rFonts w:cs="Arial"/>
        </w:rPr>
        <w:t xml:space="preserve"> prescriptive)</w:t>
      </w:r>
      <w:r w:rsidRPr="00D47A71">
        <w:rPr>
          <w:rFonts w:cs="Arial"/>
        </w:rPr>
        <w:br/>
      </w:r>
    </w:p>
    <w:p w14:paraId="30A88F8F" w14:textId="77777777" w:rsidR="00992C7A" w:rsidRPr="00D47A71" w:rsidRDefault="00992C7A" w:rsidP="00D47A71">
      <w:pPr>
        <w:pStyle w:val="ListParagraph"/>
        <w:numPr>
          <w:ilvl w:val="0"/>
          <w:numId w:val="9"/>
        </w:numPr>
        <w:rPr>
          <w:rFonts w:cs="Arial"/>
        </w:rPr>
      </w:pPr>
      <w:r w:rsidRPr="00D47A71">
        <w:rPr>
          <w:rFonts w:cs="Arial"/>
        </w:rPr>
        <w:t xml:space="preserve">Consider whether there is sufficient evidence </w:t>
      </w:r>
      <w:r w:rsidRPr="00D47A71">
        <w:rPr>
          <w:rFonts w:cs="Arial"/>
        </w:rPr>
        <w:br/>
      </w:r>
    </w:p>
    <w:p w14:paraId="4D983505" w14:textId="0EA00D1D" w:rsidR="00992C7A" w:rsidRPr="00D47A71" w:rsidRDefault="00992C7A" w:rsidP="00D47A71">
      <w:pPr>
        <w:pStyle w:val="ListParagraph"/>
        <w:numPr>
          <w:ilvl w:val="0"/>
          <w:numId w:val="9"/>
        </w:numPr>
        <w:rPr>
          <w:rFonts w:cs="Arial"/>
        </w:rPr>
      </w:pPr>
      <w:r w:rsidRPr="00D47A71">
        <w:rPr>
          <w:rFonts w:cs="Arial"/>
        </w:rPr>
        <w:t xml:space="preserve">Contact a member of </w:t>
      </w:r>
      <w:r w:rsidR="00552B8D">
        <w:rPr>
          <w:rFonts w:cs="Arial"/>
        </w:rPr>
        <w:t>CC-UK</w:t>
      </w:r>
      <w:r w:rsidRPr="00D47A71">
        <w:rPr>
          <w:rFonts w:cs="Arial"/>
        </w:rPr>
        <w:t xml:space="preserve"> to discuss the achievements </w:t>
      </w:r>
      <w:r w:rsidRPr="00D47A71">
        <w:rPr>
          <w:rFonts w:cs="Arial"/>
        </w:rPr>
        <w:br/>
      </w:r>
    </w:p>
    <w:p w14:paraId="6336D303" w14:textId="7E3FB8DC" w:rsidR="00992C7A" w:rsidRPr="00D47A71" w:rsidRDefault="00552B8D" w:rsidP="00D47A71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cs="Arial"/>
        </w:rPr>
        <w:t>CC-UK</w:t>
      </w:r>
      <w:r w:rsidR="00992C7A" w:rsidRPr="00D47A71">
        <w:rPr>
          <w:rFonts w:cs="Arial"/>
        </w:rPr>
        <w:t xml:space="preserve"> Board will review the self-assessment matrix and interview key members of the g</w:t>
      </w:r>
      <w:r w:rsidR="00305D0C" w:rsidRPr="00D47A71">
        <w:rPr>
          <w:rFonts w:cs="Arial"/>
        </w:rPr>
        <w:t>roup (who will be known as the development g</w:t>
      </w:r>
      <w:r w:rsidR="00992C7A" w:rsidRPr="00D47A71">
        <w:rPr>
          <w:rFonts w:cs="Arial"/>
        </w:rPr>
        <w:t xml:space="preserve">roup) to determine whether to accredit or not.  A presentation to the </w:t>
      </w:r>
      <w:r>
        <w:rPr>
          <w:rFonts w:cs="Arial"/>
        </w:rPr>
        <w:t>CC-UK</w:t>
      </w:r>
      <w:r w:rsidR="00992C7A" w:rsidRPr="00D47A71">
        <w:rPr>
          <w:rFonts w:cs="Arial"/>
        </w:rPr>
        <w:t xml:space="preserve"> Board will be required.</w:t>
      </w:r>
      <w:r w:rsidR="00992C7A" w:rsidRPr="00D47A71">
        <w:rPr>
          <w:rFonts w:cs="Arial"/>
        </w:rPr>
        <w:br/>
      </w:r>
    </w:p>
    <w:p w14:paraId="4949FDE5" w14:textId="3E468676" w:rsidR="00992C7A" w:rsidRPr="00D47A71" w:rsidRDefault="00305D0C" w:rsidP="00D47A71">
      <w:pPr>
        <w:pStyle w:val="ListParagraph"/>
        <w:numPr>
          <w:ilvl w:val="0"/>
          <w:numId w:val="9"/>
        </w:numPr>
        <w:rPr>
          <w:rFonts w:cs="Arial"/>
        </w:rPr>
      </w:pPr>
      <w:r w:rsidRPr="00D47A71">
        <w:rPr>
          <w:rFonts w:cs="Arial"/>
        </w:rPr>
        <w:t>The development g</w:t>
      </w:r>
      <w:r w:rsidR="00992C7A" w:rsidRPr="00D47A71">
        <w:rPr>
          <w:rFonts w:cs="Arial"/>
        </w:rPr>
        <w:t xml:space="preserve">roup should work with </w:t>
      </w:r>
      <w:r w:rsidR="00552B8D">
        <w:rPr>
          <w:rFonts w:cs="Arial"/>
        </w:rPr>
        <w:t>CC-UK</w:t>
      </w:r>
      <w:r w:rsidR="00992C7A" w:rsidRPr="00D47A71">
        <w:rPr>
          <w:rFonts w:cs="Arial"/>
        </w:rPr>
        <w:t xml:space="preserve"> to raise awareness of the achievement </w:t>
      </w:r>
      <w:proofErr w:type="gramStart"/>
      <w:r w:rsidR="00992C7A" w:rsidRPr="00D47A71">
        <w:rPr>
          <w:rFonts w:cs="Arial"/>
        </w:rPr>
        <w:t>in order to</w:t>
      </w:r>
      <w:proofErr w:type="gramEnd"/>
      <w:r w:rsidR="00992C7A" w:rsidRPr="00D47A71">
        <w:rPr>
          <w:rFonts w:cs="Arial"/>
        </w:rPr>
        <w:t xml:space="preserve"> encourage a commitment to a Compassionate Community at their council level and above.</w:t>
      </w:r>
    </w:p>
    <w:p w14:paraId="369E11EF" w14:textId="77777777" w:rsidR="00992C7A" w:rsidRPr="00305D0C" w:rsidRDefault="00992C7A" w:rsidP="00992C7A">
      <w:pPr>
        <w:pStyle w:val="Heading1"/>
        <w:rPr>
          <w:rFonts w:cs="Arial"/>
        </w:rPr>
      </w:pPr>
      <w:bookmarkStart w:id="5" w:name="_Toc95834972"/>
      <w:r w:rsidRPr="00305D0C">
        <w:rPr>
          <w:rFonts w:cs="Arial"/>
        </w:rPr>
        <w:t>The Charter Status</w:t>
      </w:r>
      <w:bookmarkEnd w:id="5"/>
    </w:p>
    <w:p w14:paraId="6922CC32" w14:textId="6DCDCEA6" w:rsidR="00263C34" w:rsidRPr="00305D0C" w:rsidRDefault="00263C34" w:rsidP="00992C7A">
      <w:pPr>
        <w:rPr>
          <w:rFonts w:cs="Arial"/>
        </w:rPr>
      </w:pPr>
      <w:r w:rsidRPr="00305D0C">
        <w:rPr>
          <w:rFonts w:cs="Arial"/>
        </w:rPr>
        <w:t>The Charter Status is a framed certif</w:t>
      </w:r>
      <w:r w:rsidR="00305D0C">
        <w:rPr>
          <w:rFonts w:cs="Arial"/>
        </w:rPr>
        <w:t xml:space="preserve">icate presented by the </w:t>
      </w:r>
      <w:r w:rsidR="00552B8D">
        <w:rPr>
          <w:rFonts w:cs="Arial"/>
        </w:rPr>
        <w:t>CC-UK</w:t>
      </w:r>
      <w:r w:rsidR="00305D0C">
        <w:rPr>
          <w:rFonts w:cs="Arial"/>
        </w:rPr>
        <w:t xml:space="preserve"> Board</w:t>
      </w:r>
      <w:r w:rsidRPr="00305D0C">
        <w:rPr>
          <w:rFonts w:cs="Arial"/>
        </w:rPr>
        <w:t xml:space="preserve"> to the group who have been successful in creating a compassionate community.</w:t>
      </w:r>
    </w:p>
    <w:p w14:paraId="77009A37" w14:textId="77777777" w:rsidR="00992C7A" w:rsidRPr="00305D0C" w:rsidRDefault="00992C7A" w:rsidP="00992C7A">
      <w:pPr>
        <w:rPr>
          <w:rFonts w:cs="Arial"/>
        </w:rPr>
      </w:pPr>
      <w:r w:rsidRPr="00305D0C">
        <w:rPr>
          <w:rFonts w:cs="Arial"/>
        </w:rPr>
        <w:t>The Charter Status Award is valid for a period of five years and can be displayed during that time.</w:t>
      </w:r>
    </w:p>
    <w:p w14:paraId="6D291A14" w14:textId="77777777" w:rsidR="00992C7A" w:rsidRPr="00305D0C" w:rsidRDefault="00992C7A" w:rsidP="00992C7A">
      <w:pPr>
        <w:pStyle w:val="Heading1"/>
        <w:rPr>
          <w:rFonts w:cs="Arial"/>
        </w:rPr>
      </w:pPr>
      <w:bookmarkStart w:id="6" w:name="_Toc95834973"/>
      <w:r w:rsidRPr="00305D0C">
        <w:rPr>
          <w:rFonts w:cs="Arial"/>
        </w:rPr>
        <w:t>Press Coverage and Communication</w:t>
      </w:r>
      <w:bookmarkEnd w:id="6"/>
    </w:p>
    <w:p w14:paraId="5CDA52E5" w14:textId="42A17A8E" w:rsidR="00992C7A" w:rsidRPr="00305D0C" w:rsidRDefault="00992C7A" w:rsidP="00992C7A">
      <w:pPr>
        <w:rPr>
          <w:rFonts w:cs="Arial"/>
        </w:rPr>
      </w:pPr>
      <w:r w:rsidRPr="00305D0C">
        <w:rPr>
          <w:rFonts w:cs="Arial"/>
        </w:rPr>
        <w:t>Accreditation of Compassionate City Charter Status is a significant achievement and should be celebrated.  It is advisable to include someone responsible for communications on the development group.</w:t>
      </w:r>
    </w:p>
    <w:p w14:paraId="3EAB0F1B" w14:textId="6D09966D" w:rsidR="00992C7A" w:rsidRPr="00305D0C" w:rsidRDefault="00992C7A" w:rsidP="00992C7A">
      <w:pPr>
        <w:rPr>
          <w:rFonts w:cs="Arial"/>
        </w:rPr>
      </w:pPr>
      <w:r w:rsidRPr="00305D0C">
        <w:rPr>
          <w:rFonts w:cs="Arial"/>
        </w:rPr>
        <w:t xml:space="preserve">We would encourage an award ceremony to highlight the achievement and support the development of a wider movement towards Compassionate Communities.   </w:t>
      </w:r>
      <w:r w:rsidRPr="00305D0C">
        <w:rPr>
          <w:rFonts w:cs="Arial"/>
        </w:rPr>
        <w:br/>
      </w:r>
      <w:r w:rsidRPr="00305D0C">
        <w:rPr>
          <w:rFonts w:cs="Arial"/>
        </w:rPr>
        <w:br/>
        <w:t xml:space="preserve">All PR and Communications mentioning </w:t>
      </w:r>
      <w:r w:rsidR="00552B8D">
        <w:rPr>
          <w:rFonts w:cs="Arial"/>
        </w:rPr>
        <w:t>CC-UK</w:t>
      </w:r>
      <w:r w:rsidRPr="00305D0C">
        <w:rPr>
          <w:rFonts w:cs="Arial"/>
        </w:rPr>
        <w:t xml:space="preserve"> should be produced collaboratively to maximise the impact and celebration.</w:t>
      </w:r>
    </w:p>
    <w:p w14:paraId="436F5893" w14:textId="77777777" w:rsidR="00992C7A" w:rsidRPr="00305D0C" w:rsidRDefault="00992C7A" w:rsidP="00992C7A">
      <w:pPr>
        <w:pStyle w:val="Heading1"/>
        <w:rPr>
          <w:rFonts w:cs="Arial"/>
        </w:rPr>
      </w:pPr>
      <w:bookmarkStart w:id="7" w:name="_Toc95834974"/>
      <w:r w:rsidRPr="00305D0C">
        <w:rPr>
          <w:rFonts w:cs="Arial"/>
        </w:rPr>
        <w:t>Future Steps</w:t>
      </w:r>
      <w:r w:rsidR="00263C34" w:rsidRPr="00305D0C">
        <w:rPr>
          <w:rFonts w:cs="Arial"/>
        </w:rPr>
        <w:t xml:space="preserve"> and Re-Accreditation</w:t>
      </w:r>
      <w:bookmarkEnd w:id="7"/>
    </w:p>
    <w:p w14:paraId="21A5CA1C" w14:textId="14EDB227" w:rsidR="00992C7A" w:rsidRPr="00305D0C" w:rsidRDefault="00992C7A" w:rsidP="00992C7A">
      <w:pPr>
        <w:rPr>
          <w:rFonts w:cs="Arial"/>
        </w:rPr>
      </w:pPr>
      <w:r w:rsidRPr="00305D0C">
        <w:rPr>
          <w:rFonts w:cs="Arial"/>
        </w:rPr>
        <w:t xml:space="preserve">Charter Status is a </w:t>
      </w:r>
      <w:r w:rsidR="00BE5DA9" w:rsidRPr="00305D0C">
        <w:rPr>
          <w:rFonts w:cs="Arial"/>
        </w:rPr>
        <w:t>long-term</w:t>
      </w:r>
      <w:r w:rsidRPr="00305D0C">
        <w:rPr>
          <w:rFonts w:cs="Arial"/>
        </w:rPr>
        <w:t xml:space="preserve"> commitment to a compassionate society.  During the accreditation process the </w:t>
      </w:r>
      <w:r w:rsidR="00552B8D">
        <w:rPr>
          <w:rFonts w:cs="Arial"/>
        </w:rPr>
        <w:t>CC-UK</w:t>
      </w:r>
      <w:r w:rsidRPr="00305D0C">
        <w:rPr>
          <w:rFonts w:cs="Arial"/>
        </w:rPr>
        <w:t xml:space="preserve"> Board will expect to see ongoing plans.</w:t>
      </w:r>
    </w:p>
    <w:p w14:paraId="6BC53EA5" w14:textId="77777777" w:rsidR="00BE5DA9" w:rsidRDefault="00992C7A" w:rsidP="00992C7A">
      <w:pPr>
        <w:rPr>
          <w:rFonts w:cs="Arial"/>
        </w:rPr>
      </w:pPr>
      <w:r w:rsidRPr="00305D0C">
        <w:rPr>
          <w:rFonts w:cs="Arial"/>
        </w:rPr>
        <w:lastRenderedPageBreak/>
        <w:t>Accreditation will be reviewed every five years.</w:t>
      </w:r>
      <w:r w:rsidR="00263C34" w:rsidRPr="00305D0C">
        <w:rPr>
          <w:rFonts w:cs="Arial"/>
        </w:rPr>
        <w:t xml:space="preserve">  The award may be removed if progress and commitment has</w:t>
      </w:r>
      <w:r w:rsidR="00D47A71">
        <w:rPr>
          <w:rFonts w:cs="Arial"/>
        </w:rPr>
        <w:t xml:space="preserve"> no</w:t>
      </w:r>
      <w:r w:rsidR="00263C34" w:rsidRPr="00305D0C">
        <w:rPr>
          <w:rFonts w:cs="Arial"/>
        </w:rPr>
        <w:t>t been sustained.</w:t>
      </w:r>
    </w:p>
    <w:p w14:paraId="70474B51" w14:textId="29C18582" w:rsidR="00263C34" w:rsidRPr="00305D0C" w:rsidRDefault="00BE5DA9" w:rsidP="00992C7A">
      <w:pPr>
        <w:rPr>
          <w:rFonts w:cs="Arial"/>
        </w:rPr>
      </w:pPr>
      <w:r>
        <w:rPr>
          <w:rFonts w:cs="Arial"/>
        </w:rPr>
        <w:t>There may be occasions where a situation arises in a city or place, that calls into question the award. In these exceptional circumstances, a member of the CC-UK team will contact someone from the place-based team.</w:t>
      </w:r>
      <w:r w:rsidR="00992C7A" w:rsidRPr="00305D0C">
        <w:rPr>
          <w:rFonts w:cs="Arial"/>
        </w:rPr>
        <w:br/>
      </w:r>
    </w:p>
    <w:p w14:paraId="7A2156A3" w14:textId="77777777" w:rsidR="00263C34" w:rsidRPr="00305D0C" w:rsidRDefault="00263C34">
      <w:pPr>
        <w:rPr>
          <w:rFonts w:cs="Arial"/>
        </w:rPr>
      </w:pPr>
      <w:r w:rsidRPr="00305D0C">
        <w:rPr>
          <w:rFonts w:cs="Arial"/>
        </w:rPr>
        <w:br w:type="page"/>
      </w:r>
    </w:p>
    <w:p w14:paraId="2A079D1A" w14:textId="3D0CB23F" w:rsidR="00D47A71" w:rsidRDefault="00D47A71" w:rsidP="00263C34">
      <w:pPr>
        <w:pStyle w:val="Heading1"/>
        <w:rPr>
          <w:rFonts w:cs="Arial"/>
        </w:rPr>
      </w:pPr>
      <w:bookmarkStart w:id="8" w:name="_Toc95834975"/>
      <w:r>
        <w:rPr>
          <w:rFonts w:cs="Arial"/>
        </w:rPr>
        <w:lastRenderedPageBreak/>
        <w:t>Appendix A – The Charter</w:t>
      </w:r>
      <w:bookmarkEnd w:id="8"/>
    </w:p>
    <w:p w14:paraId="1E54FA22" w14:textId="495200EC" w:rsidR="00D47A71" w:rsidRDefault="00D47A71" w:rsidP="00D47A71">
      <w:r>
        <w:t xml:space="preserve">The standards within the charter are contained within the self-assessment matrix in Appendix C.  </w:t>
      </w:r>
      <w:proofErr w:type="gramStart"/>
      <w:r>
        <w:t>However</w:t>
      </w:r>
      <w:proofErr w:type="gramEnd"/>
      <w:r>
        <w:t xml:space="preserve"> can also be accessed via the link below.</w:t>
      </w:r>
    </w:p>
    <w:p w14:paraId="5C61B392" w14:textId="0FB06912" w:rsidR="00D47A71" w:rsidRDefault="00000000" w:rsidP="00D47A71">
      <w:hyperlink r:id="rId12" w:history="1">
        <w:r w:rsidR="00D47A71" w:rsidRPr="0054690F">
          <w:rPr>
            <w:rStyle w:val="Hyperlink"/>
          </w:rPr>
          <w:t>https://www.compassionate-communitiesuk.co.uk/the-compassionate-city-charter</w:t>
        </w:r>
      </w:hyperlink>
    </w:p>
    <w:p w14:paraId="128A2261" w14:textId="77777777" w:rsidR="00D47A71" w:rsidRPr="00D47A71" w:rsidRDefault="00D47A71" w:rsidP="00D47A71"/>
    <w:p w14:paraId="6C05A0ED" w14:textId="7FB0FBB6" w:rsidR="005079DE" w:rsidRPr="00305D0C" w:rsidRDefault="00305D0C" w:rsidP="00263C34">
      <w:pPr>
        <w:pStyle w:val="Heading1"/>
        <w:rPr>
          <w:rFonts w:cs="Arial"/>
        </w:rPr>
      </w:pPr>
      <w:bookmarkStart w:id="9" w:name="_Toc95834976"/>
      <w:r>
        <w:rPr>
          <w:rFonts w:cs="Arial"/>
        </w:rPr>
        <w:t>Appendix B</w:t>
      </w:r>
      <w:r w:rsidR="00D47A71">
        <w:rPr>
          <w:rFonts w:cs="Arial"/>
        </w:rPr>
        <w:t xml:space="preserve"> – Example of a development g</w:t>
      </w:r>
      <w:r w:rsidR="00263C34" w:rsidRPr="00305D0C">
        <w:rPr>
          <w:rFonts w:cs="Arial"/>
        </w:rPr>
        <w:t>roup</w:t>
      </w:r>
      <w:bookmarkEnd w:id="9"/>
    </w:p>
    <w:p w14:paraId="2EFB8BBA" w14:textId="5E455C09" w:rsidR="00263C34" w:rsidRPr="00305D0C" w:rsidRDefault="00263C34" w:rsidP="00263C34">
      <w:pPr>
        <w:rPr>
          <w:rFonts w:cs="Arial"/>
        </w:rPr>
      </w:pPr>
      <w:r w:rsidRPr="00305D0C">
        <w:rPr>
          <w:rFonts w:cs="Arial"/>
        </w:rPr>
        <w:t>The Development Group should be between 10-20 people depending on the size of place.</w:t>
      </w:r>
      <w:r w:rsidR="00CB607C" w:rsidRPr="00305D0C">
        <w:rPr>
          <w:rFonts w:cs="Arial"/>
        </w:rPr>
        <w:t xml:space="preserve"> At a community level the development group might be predominately community leaders, whereas at a system or City level it is essential to get a balance of statutory and non-statutory members.</w:t>
      </w:r>
      <w:r w:rsidRPr="00305D0C">
        <w:rPr>
          <w:rFonts w:cs="Arial"/>
        </w:rPr>
        <w:t xml:space="preserve">  An example list would be:</w:t>
      </w:r>
    </w:p>
    <w:p w14:paraId="35D3F17D" w14:textId="77777777" w:rsidR="00CB607C" w:rsidRPr="00305D0C" w:rsidRDefault="00CB607C" w:rsidP="00CB607C">
      <w:pPr>
        <w:pStyle w:val="ListParagraph"/>
        <w:numPr>
          <w:ilvl w:val="0"/>
          <w:numId w:val="4"/>
        </w:numPr>
        <w:rPr>
          <w:rFonts w:cs="Arial"/>
        </w:rPr>
      </w:pPr>
      <w:r w:rsidRPr="00305D0C">
        <w:rPr>
          <w:rFonts w:cs="Arial"/>
        </w:rPr>
        <w:t xml:space="preserve">Representatives from community groups </w:t>
      </w:r>
    </w:p>
    <w:p w14:paraId="3969BB2D" w14:textId="7F8D885C" w:rsidR="00CB607C" w:rsidRPr="00305D0C" w:rsidRDefault="00CB607C" w:rsidP="00CB607C">
      <w:pPr>
        <w:pStyle w:val="ListParagraph"/>
        <w:numPr>
          <w:ilvl w:val="0"/>
          <w:numId w:val="4"/>
        </w:numPr>
        <w:rPr>
          <w:rFonts w:cs="Arial"/>
        </w:rPr>
      </w:pPr>
      <w:r w:rsidRPr="00305D0C">
        <w:rPr>
          <w:rFonts w:cs="Arial"/>
        </w:rPr>
        <w:t xml:space="preserve">Representatives from community groups relating to </w:t>
      </w:r>
      <w:proofErr w:type="gramStart"/>
      <w:r w:rsidRPr="00305D0C">
        <w:rPr>
          <w:rFonts w:cs="Arial"/>
        </w:rPr>
        <w:t>inclusion</w:t>
      </w:r>
      <w:proofErr w:type="gramEnd"/>
    </w:p>
    <w:p w14:paraId="73148290" w14:textId="77777777" w:rsidR="00CB607C" w:rsidRPr="00305D0C" w:rsidRDefault="00CB607C" w:rsidP="00CB607C">
      <w:pPr>
        <w:pStyle w:val="ListParagraph"/>
        <w:numPr>
          <w:ilvl w:val="0"/>
          <w:numId w:val="4"/>
        </w:numPr>
        <w:rPr>
          <w:rFonts w:cs="Arial"/>
        </w:rPr>
      </w:pPr>
      <w:r w:rsidRPr="00305D0C">
        <w:rPr>
          <w:rFonts w:cs="Arial"/>
        </w:rPr>
        <w:t xml:space="preserve">Carers representatives </w:t>
      </w:r>
    </w:p>
    <w:p w14:paraId="0B92E5F4" w14:textId="77777777" w:rsidR="00CB607C" w:rsidRPr="00305D0C" w:rsidRDefault="00CB607C" w:rsidP="00CB607C">
      <w:pPr>
        <w:pStyle w:val="ListParagraph"/>
        <w:numPr>
          <w:ilvl w:val="0"/>
          <w:numId w:val="4"/>
        </w:numPr>
        <w:rPr>
          <w:rFonts w:cs="Arial"/>
        </w:rPr>
      </w:pPr>
      <w:r w:rsidRPr="00305D0C">
        <w:rPr>
          <w:rFonts w:cs="Arial"/>
        </w:rPr>
        <w:t>Faith leaders</w:t>
      </w:r>
    </w:p>
    <w:p w14:paraId="032C1A24" w14:textId="77777777" w:rsidR="00263C34" w:rsidRPr="00305D0C" w:rsidRDefault="00263C34" w:rsidP="00263C34">
      <w:pPr>
        <w:pStyle w:val="ListParagraph"/>
        <w:numPr>
          <w:ilvl w:val="0"/>
          <w:numId w:val="4"/>
        </w:numPr>
        <w:rPr>
          <w:rFonts w:cs="Arial"/>
        </w:rPr>
      </w:pPr>
      <w:r w:rsidRPr="00305D0C">
        <w:rPr>
          <w:rFonts w:cs="Arial"/>
        </w:rPr>
        <w:t>Public Health representative</w:t>
      </w:r>
    </w:p>
    <w:p w14:paraId="4DF39A10" w14:textId="77777777" w:rsidR="00263C34" w:rsidRPr="00305D0C" w:rsidRDefault="00263C34" w:rsidP="00263C34">
      <w:pPr>
        <w:pStyle w:val="ListParagraph"/>
        <w:numPr>
          <w:ilvl w:val="0"/>
          <w:numId w:val="4"/>
        </w:numPr>
        <w:rPr>
          <w:rFonts w:cs="Arial"/>
        </w:rPr>
      </w:pPr>
      <w:r w:rsidRPr="00305D0C">
        <w:rPr>
          <w:rFonts w:cs="Arial"/>
        </w:rPr>
        <w:t>Adult Social Care representative</w:t>
      </w:r>
    </w:p>
    <w:p w14:paraId="156A407E" w14:textId="77777777" w:rsidR="00263C34" w:rsidRPr="00305D0C" w:rsidRDefault="00263C34" w:rsidP="00263C34">
      <w:pPr>
        <w:pStyle w:val="ListParagraph"/>
        <w:numPr>
          <w:ilvl w:val="0"/>
          <w:numId w:val="4"/>
        </w:numPr>
        <w:rPr>
          <w:rFonts w:cs="Arial"/>
        </w:rPr>
      </w:pPr>
      <w:r w:rsidRPr="00305D0C">
        <w:rPr>
          <w:rFonts w:cs="Arial"/>
        </w:rPr>
        <w:t>Hospice representative</w:t>
      </w:r>
    </w:p>
    <w:p w14:paraId="25E89D76" w14:textId="67ED89B0" w:rsidR="00CB607C" w:rsidRPr="00305D0C" w:rsidRDefault="00CB607C" w:rsidP="00263C34">
      <w:pPr>
        <w:pStyle w:val="ListParagraph"/>
        <w:numPr>
          <w:ilvl w:val="0"/>
          <w:numId w:val="4"/>
        </w:numPr>
        <w:rPr>
          <w:rFonts w:cs="Arial"/>
        </w:rPr>
      </w:pPr>
      <w:r w:rsidRPr="00305D0C">
        <w:rPr>
          <w:rFonts w:cs="Arial"/>
        </w:rPr>
        <w:t>GP / Primary Care representative</w:t>
      </w:r>
    </w:p>
    <w:p w14:paraId="2838E2BD" w14:textId="77777777" w:rsidR="00263C34" w:rsidRPr="00305D0C" w:rsidRDefault="00263C34" w:rsidP="00263C34">
      <w:pPr>
        <w:pStyle w:val="ListParagraph"/>
        <w:numPr>
          <w:ilvl w:val="0"/>
          <w:numId w:val="4"/>
        </w:numPr>
        <w:rPr>
          <w:rFonts w:cs="Arial"/>
        </w:rPr>
      </w:pPr>
      <w:r w:rsidRPr="00305D0C">
        <w:rPr>
          <w:rFonts w:cs="Arial"/>
        </w:rPr>
        <w:t>NHS Provider representative</w:t>
      </w:r>
    </w:p>
    <w:p w14:paraId="295F32A5" w14:textId="77777777" w:rsidR="00263C34" w:rsidRPr="00305D0C" w:rsidRDefault="00263C34" w:rsidP="00263C34">
      <w:pPr>
        <w:pStyle w:val="ListParagraph"/>
        <w:numPr>
          <w:ilvl w:val="0"/>
          <w:numId w:val="4"/>
        </w:numPr>
        <w:rPr>
          <w:rFonts w:cs="Arial"/>
        </w:rPr>
      </w:pPr>
      <w:r w:rsidRPr="00305D0C">
        <w:rPr>
          <w:rFonts w:cs="Arial"/>
        </w:rPr>
        <w:t>CCG representative</w:t>
      </w:r>
    </w:p>
    <w:p w14:paraId="79FC7084" w14:textId="64757DD9" w:rsidR="00CB607C" w:rsidRPr="00305D0C" w:rsidRDefault="00CB607C" w:rsidP="00263C34">
      <w:pPr>
        <w:pStyle w:val="ListParagraph"/>
        <w:numPr>
          <w:ilvl w:val="0"/>
          <w:numId w:val="4"/>
        </w:numPr>
        <w:rPr>
          <w:rFonts w:cs="Arial"/>
        </w:rPr>
      </w:pPr>
      <w:r w:rsidRPr="00305D0C">
        <w:rPr>
          <w:rFonts w:cs="Arial"/>
        </w:rPr>
        <w:t>Chamber of Commerce / Employers</w:t>
      </w:r>
    </w:p>
    <w:p w14:paraId="1B4BCA5A" w14:textId="0C4392CD" w:rsidR="00263C34" w:rsidRPr="00305D0C" w:rsidRDefault="00CB607C" w:rsidP="00263C34">
      <w:pPr>
        <w:pStyle w:val="ListParagraph"/>
        <w:numPr>
          <w:ilvl w:val="0"/>
          <w:numId w:val="4"/>
        </w:numPr>
        <w:rPr>
          <w:rFonts w:cs="Arial"/>
        </w:rPr>
      </w:pPr>
      <w:r w:rsidRPr="00305D0C">
        <w:rPr>
          <w:rFonts w:cs="Arial"/>
        </w:rPr>
        <w:t>Representatives from</w:t>
      </w:r>
      <w:r w:rsidR="00263C34" w:rsidRPr="00305D0C">
        <w:rPr>
          <w:rFonts w:cs="Arial"/>
        </w:rPr>
        <w:t xml:space="preserve"> museums and arts</w:t>
      </w:r>
    </w:p>
    <w:p w14:paraId="6FFB6C69" w14:textId="77777777" w:rsidR="00263C34" w:rsidRPr="00305D0C" w:rsidRDefault="00263C34" w:rsidP="00263C34">
      <w:pPr>
        <w:pStyle w:val="ListParagraph"/>
        <w:numPr>
          <w:ilvl w:val="0"/>
          <w:numId w:val="4"/>
        </w:numPr>
        <w:rPr>
          <w:rFonts w:cs="Arial"/>
        </w:rPr>
      </w:pPr>
      <w:r w:rsidRPr="00305D0C">
        <w:rPr>
          <w:rFonts w:cs="Arial"/>
        </w:rPr>
        <w:t>School and University representatives</w:t>
      </w:r>
    </w:p>
    <w:p w14:paraId="576E01E3" w14:textId="77777777" w:rsidR="00263C34" w:rsidRPr="00305D0C" w:rsidRDefault="00263C34" w:rsidP="00263C34">
      <w:pPr>
        <w:rPr>
          <w:rFonts w:cs="Arial"/>
        </w:rPr>
        <w:sectPr w:rsidR="00263C34" w:rsidRPr="00305D0C" w:rsidSect="00DB3898">
          <w:footerReference w:type="default" r:id="rId13"/>
          <w:pgSz w:w="11906" w:h="16838"/>
          <w:pgMar w:top="1440" w:right="1440" w:bottom="709" w:left="1440" w:header="708" w:footer="287" w:gutter="0"/>
          <w:cols w:space="708"/>
          <w:docGrid w:linePitch="360"/>
        </w:sectPr>
      </w:pPr>
    </w:p>
    <w:p w14:paraId="324B5528" w14:textId="334EF592" w:rsidR="00263C34" w:rsidRPr="00305D0C" w:rsidRDefault="00305D0C" w:rsidP="00263C34">
      <w:pPr>
        <w:pStyle w:val="Heading1"/>
        <w:rPr>
          <w:rFonts w:cs="Arial"/>
        </w:rPr>
      </w:pPr>
      <w:bookmarkStart w:id="10" w:name="_Toc95834977"/>
      <w:r>
        <w:rPr>
          <w:rFonts w:cs="Arial"/>
        </w:rPr>
        <w:lastRenderedPageBreak/>
        <w:t>Appendix C</w:t>
      </w:r>
      <w:r w:rsidR="00263C34" w:rsidRPr="00305D0C">
        <w:rPr>
          <w:rFonts w:cs="Arial"/>
        </w:rPr>
        <w:t xml:space="preserve"> - Self-Assessment Form</w:t>
      </w:r>
      <w:bookmarkEnd w:id="10"/>
    </w:p>
    <w:p w14:paraId="0F0EA465" w14:textId="1CB02A5C" w:rsidR="0056131D" w:rsidRPr="00305D0C" w:rsidRDefault="0056131D" w:rsidP="0056131D">
      <w:pPr>
        <w:rPr>
          <w:rFonts w:cs="Arial"/>
        </w:rPr>
      </w:pPr>
      <w:r w:rsidRPr="00305D0C">
        <w:rPr>
          <w:rFonts w:cs="Arial"/>
        </w:rPr>
        <w:t xml:space="preserve">The levels of involvement are a key component in assessing readiness for Charter Status.  In completing the table on the following page, the </w:t>
      </w:r>
      <w:proofErr w:type="gramStart"/>
      <w:r w:rsidRPr="00305D0C">
        <w:rPr>
          <w:rFonts w:cs="Arial"/>
        </w:rPr>
        <w:t>current status</w:t>
      </w:r>
      <w:proofErr w:type="gramEnd"/>
      <w:r w:rsidRPr="00305D0C">
        <w:rPr>
          <w:rFonts w:cs="Arial"/>
        </w:rPr>
        <w:t xml:space="preserve"> should take into account the levels of community involvement.  If in completing the self-assessment an area is struggling to have most standards at level 3 and above, some consultancy from </w:t>
      </w:r>
      <w:r w:rsidR="00552B8D">
        <w:rPr>
          <w:rFonts w:cs="Arial"/>
        </w:rPr>
        <w:t>CC-UK</w:t>
      </w:r>
      <w:r w:rsidRPr="00305D0C">
        <w:rPr>
          <w:rFonts w:cs="Arial"/>
        </w:rPr>
        <w:t xml:space="preserve"> might help unblock some of the challenges.</w:t>
      </w:r>
      <w:r w:rsidRPr="00305D0C">
        <w:rPr>
          <w:rFonts w:cs="Arial"/>
        </w:rPr>
        <w:br/>
      </w:r>
    </w:p>
    <w:tbl>
      <w:tblPr>
        <w:tblW w:w="14980" w:type="dxa"/>
        <w:tblLook w:val="04A0" w:firstRow="1" w:lastRow="0" w:firstColumn="1" w:lastColumn="0" w:noHBand="0" w:noVBand="1"/>
      </w:tblPr>
      <w:tblGrid>
        <w:gridCol w:w="1360"/>
        <w:gridCol w:w="11180"/>
        <w:gridCol w:w="2440"/>
      </w:tblGrid>
      <w:tr w:rsidR="00263C34" w:rsidRPr="00305D0C" w14:paraId="5B634EF0" w14:textId="77777777" w:rsidTr="00263C34">
        <w:trPr>
          <w:trHeight w:val="6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FC56765" w14:textId="77777777" w:rsidR="00263C34" w:rsidRPr="00305D0C" w:rsidRDefault="00263C34" w:rsidP="00263C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b/>
                <w:bCs/>
                <w:color w:val="000000"/>
                <w:lang w:eastAsia="en-GB"/>
              </w:rPr>
              <w:t>Level</w:t>
            </w:r>
          </w:p>
        </w:tc>
        <w:tc>
          <w:tcPr>
            <w:tcW w:w="1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1C6A15" w14:textId="77777777" w:rsidR="00263C34" w:rsidRPr="00305D0C" w:rsidRDefault="00263C34" w:rsidP="00263C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b/>
                <w:bCs/>
                <w:color w:val="000000"/>
                <w:lang w:eastAsia="en-GB"/>
              </w:rPr>
              <w:t>Community Level Descriptor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41E59AE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Level of Community </w:t>
            </w:r>
            <w:r w:rsidR="0056131D" w:rsidRPr="00305D0C">
              <w:rPr>
                <w:rFonts w:eastAsia="Times New Roman" w:cs="Arial"/>
                <w:b/>
                <w:bCs/>
                <w:color w:val="000000"/>
                <w:lang w:eastAsia="en-GB"/>
              </w:rPr>
              <w:t>Involvement</w:t>
            </w:r>
          </w:p>
        </w:tc>
      </w:tr>
      <w:tr w:rsidR="00263C34" w:rsidRPr="00305D0C" w14:paraId="202129C8" w14:textId="77777777" w:rsidTr="00263C34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BD82827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Level 0</w:t>
            </w: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2745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 xml:space="preserve">Not at all ready to achieve/ anticipate barriers to achievement - </w:t>
            </w:r>
            <w:proofErr w:type="gramStart"/>
            <w:r w:rsidRPr="00305D0C">
              <w:rPr>
                <w:rFonts w:eastAsia="Times New Roman" w:cs="Arial"/>
                <w:color w:val="000000"/>
                <w:lang w:eastAsia="en-GB"/>
              </w:rPr>
              <w:t>top down</w:t>
            </w:r>
            <w:proofErr w:type="gramEnd"/>
            <w:r w:rsidRPr="00305D0C">
              <w:rPr>
                <w:rFonts w:eastAsia="Times New Roman" w:cs="Arial"/>
                <w:color w:val="000000"/>
                <w:lang w:eastAsia="en-GB"/>
              </w:rPr>
              <w:t xml:space="preserve"> driven agenda / organisations leading / no power sharing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90BA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No involvement</w:t>
            </w:r>
          </w:p>
        </w:tc>
      </w:tr>
      <w:tr w:rsidR="00263C34" w:rsidRPr="00305D0C" w14:paraId="126DFC08" w14:textId="77777777" w:rsidTr="00263C3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4C9B06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Level 1</w:t>
            </w: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05F4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Desire to achieve this ambition but there are currently no plans/little evidence in place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3422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Informing</w:t>
            </w:r>
          </w:p>
        </w:tc>
      </w:tr>
      <w:tr w:rsidR="00263C34" w:rsidRPr="00305D0C" w14:paraId="6716BD0B" w14:textId="77777777" w:rsidTr="00263C3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06A862A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Level 2</w:t>
            </w: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C922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 xml:space="preserve">Plans are in place towards achieving this ambition but no/little evidence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E8F4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Consulting</w:t>
            </w:r>
          </w:p>
        </w:tc>
      </w:tr>
      <w:tr w:rsidR="00263C34" w:rsidRPr="00305D0C" w14:paraId="2727E0E3" w14:textId="77777777" w:rsidTr="00263C3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5F381E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Level 3</w:t>
            </w: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D108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 xml:space="preserve">Limited achievement in some areas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FCBE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Co-production</w:t>
            </w:r>
          </w:p>
        </w:tc>
      </w:tr>
      <w:tr w:rsidR="00263C34" w:rsidRPr="00305D0C" w14:paraId="57A2E316" w14:textId="77777777" w:rsidTr="00263C3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FEB3277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Level 4</w:t>
            </w: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DC71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Partially achieving most areas but not all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B365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Collaborate</w:t>
            </w:r>
          </w:p>
        </w:tc>
      </w:tr>
      <w:tr w:rsidR="00263C34" w:rsidRPr="00305D0C" w14:paraId="01C9A1F5" w14:textId="77777777" w:rsidTr="00263C34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1EEEA214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5B384C">
              <w:rPr>
                <w:rFonts w:eastAsia="Times New Roman" w:cs="Arial"/>
                <w:color w:val="FF0000"/>
                <w:lang w:eastAsia="en-GB"/>
              </w:rPr>
              <w:t>Level 5</w:t>
            </w:r>
          </w:p>
        </w:tc>
        <w:tc>
          <w:tcPr>
            <w:tcW w:w="1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9FFF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Fully achieving within all communities - work initiated and led by communities / high level of power sharing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E576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Empowering</w:t>
            </w:r>
          </w:p>
        </w:tc>
      </w:tr>
    </w:tbl>
    <w:p w14:paraId="2F56EF6C" w14:textId="77777777" w:rsidR="00263C34" w:rsidRPr="00305D0C" w:rsidRDefault="00263C34" w:rsidP="00263C34">
      <w:pPr>
        <w:rPr>
          <w:rFonts w:cs="Arial"/>
        </w:rPr>
      </w:pPr>
    </w:p>
    <w:p w14:paraId="352BDDA6" w14:textId="77777777" w:rsidR="00263C34" w:rsidRPr="00305D0C" w:rsidRDefault="00263C34">
      <w:pPr>
        <w:rPr>
          <w:rFonts w:cs="Arial"/>
        </w:rPr>
      </w:pPr>
      <w:r w:rsidRPr="00305D0C">
        <w:rPr>
          <w:rFonts w:cs="Arial"/>
        </w:rPr>
        <w:br w:type="page"/>
      </w:r>
    </w:p>
    <w:tbl>
      <w:tblPr>
        <w:tblW w:w="15436" w:type="dxa"/>
        <w:tblLook w:val="04A0" w:firstRow="1" w:lastRow="0" w:firstColumn="1" w:lastColumn="0" w:noHBand="0" w:noVBand="1"/>
      </w:tblPr>
      <w:tblGrid>
        <w:gridCol w:w="694"/>
        <w:gridCol w:w="7229"/>
        <w:gridCol w:w="1011"/>
        <w:gridCol w:w="2835"/>
        <w:gridCol w:w="3685"/>
      </w:tblGrid>
      <w:tr w:rsidR="0056131D" w:rsidRPr="00D47A71" w14:paraId="686C45D3" w14:textId="77777777" w:rsidTr="0056131D">
        <w:trPr>
          <w:trHeight w:val="63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B050"/>
            <w:vAlign w:val="center"/>
            <w:hideMark/>
          </w:tcPr>
          <w:p w14:paraId="6EE30ADC" w14:textId="77777777" w:rsidR="00263C34" w:rsidRPr="00D47A71" w:rsidRDefault="00263C34" w:rsidP="00263C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lastRenderedPageBreak/>
              <w:t>No:</w:t>
            </w:r>
          </w:p>
        </w:tc>
        <w:tc>
          <w:tcPr>
            <w:tcW w:w="72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B050"/>
            <w:vAlign w:val="center"/>
            <w:hideMark/>
          </w:tcPr>
          <w:p w14:paraId="172486CC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PLEASE NOTE THESE MEASURES ARE EXAMPLES AND ARE NOT PRESCRIPTIVE - ALERNATIVE MEASURES CAN BE INCLUDED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B050"/>
            <w:vAlign w:val="center"/>
            <w:hideMark/>
          </w:tcPr>
          <w:p w14:paraId="6F53F0BC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Current Status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B050"/>
            <w:vAlign w:val="center"/>
            <w:hideMark/>
          </w:tcPr>
          <w:p w14:paraId="02475815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How would you evidence achievement or progress at this level?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B050"/>
            <w:vAlign w:val="center"/>
            <w:hideMark/>
          </w:tcPr>
          <w:p w14:paraId="060AD3CE" w14:textId="77777777" w:rsidR="00263C34" w:rsidRPr="00D47A71" w:rsidRDefault="00263C34" w:rsidP="0056131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Where are your current gaps?</w:t>
            </w:r>
          </w:p>
        </w:tc>
      </w:tr>
      <w:tr w:rsidR="0056131D" w:rsidRPr="00D47A71" w14:paraId="01B4F1CA" w14:textId="77777777" w:rsidTr="0056131D">
        <w:trPr>
          <w:trHeight w:val="33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6E3BC"/>
            <w:vAlign w:val="center"/>
            <w:hideMark/>
          </w:tcPr>
          <w:p w14:paraId="1CBFA522" w14:textId="77777777" w:rsidR="00263C34" w:rsidRPr="00D47A71" w:rsidRDefault="00263C34" w:rsidP="00263C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6E3BC"/>
            <w:vAlign w:val="center"/>
            <w:hideMark/>
          </w:tcPr>
          <w:p w14:paraId="7F2ECCB5" w14:textId="77777777" w:rsidR="00263C34" w:rsidRPr="00D47A71" w:rsidRDefault="00263C34" w:rsidP="00263C3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 xml:space="preserve">Measurement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6E3BC"/>
            <w:vAlign w:val="center"/>
            <w:hideMark/>
          </w:tcPr>
          <w:p w14:paraId="41704745" w14:textId="77777777" w:rsidR="00263C34" w:rsidRPr="00D47A71" w:rsidRDefault="00263C34" w:rsidP="00263C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6E3BC"/>
            <w:vAlign w:val="center"/>
            <w:hideMark/>
          </w:tcPr>
          <w:p w14:paraId="0B6B044D" w14:textId="77777777" w:rsidR="00263C34" w:rsidRPr="00D47A71" w:rsidRDefault="00263C34" w:rsidP="00263C3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6E3BC"/>
            <w:vAlign w:val="center"/>
            <w:hideMark/>
          </w:tcPr>
          <w:p w14:paraId="2390B678" w14:textId="77777777" w:rsidR="00263C34" w:rsidRPr="00D47A71" w:rsidRDefault="00263C34" w:rsidP="0056131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6131D" w:rsidRPr="00D47A71" w14:paraId="29AFA8F0" w14:textId="77777777" w:rsidTr="0056131D">
        <w:trPr>
          <w:trHeight w:val="33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5AC7DD8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648870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545454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Our </w:t>
            </w:r>
            <w:r w:rsidRPr="00D47A71">
              <w:rPr>
                <w:rFonts w:eastAsia="Times New Roman" w:cs="Arial"/>
                <w:b/>
                <w:bCs/>
                <w:color w:val="545454"/>
                <w:sz w:val="22"/>
                <w:lang w:eastAsia="en-GB"/>
              </w:rPr>
              <w:t>schools</w:t>
            </w: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 will have annually reviewed policies or guidance documents for dying, death, </w:t>
            </w:r>
            <w:proofErr w:type="gramStart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loss</w:t>
            </w:r>
            <w:proofErr w:type="gramEnd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 and care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D2E74F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00AB7F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EC01341" w14:textId="77777777" w:rsidR="00263C34" w:rsidRPr="00D47A71" w:rsidRDefault="00263C34" w:rsidP="0056131D">
            <w:pPr>
              <w:spacing w:after="0" w:line="240" w:lineRule="auto"/>
              <w:rPr>
                <w:rFonts w:eastAsia="Times New Roman" w:cs="Arial"/>
                <w:sz w:val="22"/>
                <w:lang w:eastAsia="en-GB"/>
              </w:rPr>
            </w:pPr>
            <w:r w:rsidRPr="00D47A71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56131D" w:rsidRPr="00D47A71" w14:paraId="110128DC" w14:textId="77777777" w:rsidTr="0056131D">
        <w:trPr>
          <w:trHeight w:val="33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2F0D0A2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80C1B2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545454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Our </w:t>
            </w:r>
            <w:r w:rsidRPr="00D47A71">
              <w:rPr>
                <w:rFonts w:eastAsia="Times New Roman" w:cs="Arial"/>
                <w:b/>
                <w:bCs/>
                <w:color w:val="545454"/>
                <w:sz w:val="22"/>
                <w:lang w:eastAsia="en-GB"/>
              </w:rPr>
              <w:t>workplaces</w:t>
            </w: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 will have annually reviewed policies or guidance documents for dying, death, </w:t>
            </w:r>
            <w:proofErr w:type="gramStart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loss</w:t>
            </w:r>
            <w:proofErr w:type="gramEnd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 and care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93CA9E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1D0DA1A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4BF4F5" w14:textId="77777777" w:rsidR="00263C34" w:rsidRPr="00D47A71" w:rsidRDefault="00263C34" w:rsidP="0056131D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6131D" w:rsidRPr="00D47A71" w14:paraId="7A6CE8D3" w14:textId="77777777" w:rsidTr="0056131D">
        <w:trPr>
          <w:trHeight w:val="33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48928D4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F053F6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545454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Our </w:t>
            </w:r>
            <w:r w:rsidRPr="00D47A71">
              <w:rPr>
                <w:rFonts w:eastAsia="Times New Roman" w:cs="Arial"/>
                <w:b/>
                <w:bCs/>
                <w:color w:val="545454"/>
                <w:sz w:val="22"/>
                <w:lang w:eastAsia="en-GB"/>
              </w:rPr>
              <w:t>trade unions</w:t>
            </w: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 will have annually reviewed policies or guidance documents for dying, death, </w:t>
            </w:r>
            <w:proofErr w:type="gramStart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loss</w:t>
            </w:r>
            <w:proofErr w:type="gramEnd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 and care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D1E374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0F9FE0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7519D5" w14:textId="77777777" w:rsidR="00263C34" w:rsidRPr="00D47A71" w:rsidRDefault="00263C34" w:rsidP="0056131D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6131D" w:rsidRPr="00D47A71" w14:paraId="69159303" w14:textId="77777777" w:rsidTr="0056131D">
        <w:trPr>
          <w:trHeight w:val="33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F2CEEF3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D7A357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545454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Our </w:t>
            </w:r>
            <w:r w:rsidRPr="00D47A71">
              <w:rPr>
                <w:rFonts w:eastAsia="Times New Roman" w:cs="Arial"/>
                <w:b/>
                <w:bCs/>
                <w:color w:val="545454"/>
                <w:sz w:val="22"/>
                <w:lang w:eastAsia="en-GB"/>
              </w:rPr>
              <w:t>churches and temples</w:t>
            </w: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 will have at least one dedicated group for </w:t>
            </w:r>
            <w:proofErr w:type="gramStart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end of life</w:t>
            </w:r>
            <w:proofErr w:type="gramEnd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 care support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A209E3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36215AC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4E6108B" w14:textId="77777777" w:rsidR="00263C34" w:rsidRPr="00D47A71" w:rsidRDefault="00263C34" w:rsidP="0056131D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6131D" w:rsidRPr="00D47A71" w14:paraId="45EBB97A" w14:textId="77777777" w:rsidTr="0056131D">
        <w:trPr>
          <w:trHeight w:val="63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BB5D737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0E6639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545454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Our </w:t>
            </w:r>
            <w:r w:rsidRPr="00D47A71">
              <w:rPr>
                <w:rFonts w:eastAsia="Times New Roman" w:cs="Arial"/>
                <w:b/>
                <w:bCs/>
                <w:color w:val="545454"/>
                <w:sz w:val="22"/>
                <w:lang w:eastAsia="en-GB"/>
              </w:rPr>
              <w:t>city’s hospices and nursing homes </w:t>
            </w: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will have a community development program involving local area citizens in </w:t>
            </w:r>
            <w:proofErr w:type="gramStart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end of life</w:t>
            </w:r>
            <w:proofErr w:type="gramEnd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 care activities and programs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745B51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BE01E9F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0039EB1" w14:textId="77777777" w:rsidR="00263C34" w:rsidRPr="00D47A71" w:rsidRDefault="00263C34" w:rsidP="0056131D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6131D" w:rsidRPr="00D47A71" w14:paraId="70D7C7A8" w14:textId="77777777" w:rsidTr="0056131D">
        <w:trPr>
          <w:trHeight w:val="63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375A9A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9BCB9F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545454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Our city’s major </w:t>
            </w:r>
            <w:r w:rsidRPr="00D47A71">
              <w:rPr>
                <w:rFonts w:eastAsia="Times New Roman" w:cs="Arial"/>
                <w:b/>
                <w:bCs/>
                <w:color w:val="545454"/>
                <w:sz w:val="22"/>
                <w:lang w:eastAsia="en-GB"/>
              </w:rPr>
              <w:t>museums and art galleries</w:t>
            </w: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 will hold annual exhibitions on the experiences of ageing, dying, death, </w:t>
            </w:r>
            <w:proofErr w:type="gramStart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loss</w:t>
            </w:r>
            <w:proofErr w:type="gramEnd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 or care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F4809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8DB60BA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31AA925" w14:textId="77777777" w:rsidR="00263C34" w:rsidRPr="00D47A71" w:rsidRDefault="00263C34" w:rsidP="0056131D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6131D" w:rsidRPr="00D47A71" w14:paraId="0BFFAF06" w14:textId="77777777" w:rsidTr="0056131D">
        <w:trPr>
          <w:trHeight w:val="93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113625B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B10D4E" w14:textId="5F8D5100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545454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Our city will host an</w:t>
            </w:r>
            <w:r w:rsidRPr="00D47A71">
              <w:rPr>
                <w:rFonts w:eastAsia="Times New Roman" w:cs="Arial"/>
                <w:b/>
                <w:bCs/>
                <w:color w:val="545454"/>
                <w:sz w:val="22"/>
                <w:lang w:eastAsia="en-GB"/>
              </w:rPr>
              <w:t xml:space="preserve"> annual peacetime memorial parade</w:t>
            </w: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 representing the major sectors of human loss outside military campaigns –</w:t>
            </w:r>
            <w:r w:rsidR="00305D0C"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 e.g.</w:t>
            </w: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 cancer, motor neuron disease,</w:t>
            </w:r>
            <w:r w:rsidR="00305D0C"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 stroke, COVID,</w:t>
            </w: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 AIDS, child loss, suicide survivors, animal companion loss, widowhood, industrial and vehicle accidents, the loss of emergency workers and all </w:t>
            </w:r>
            <w:proofErr w:type="gramStart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end of life</w:t>
            </w:r>
            <w:proofErr w:type="gramEnd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 care personnel, etc.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5857C8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2C639B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F603E2" w14:textId="77777777" w:rsidR="00263C34" w:rsidRPr="00D47A71" w:rsidRDefault="00263C34" w:rsidP="0056131D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6131D" w:rsidRPr="00D47A71" w14:paraId="71EB9C2F" w14:textId="77777777" w:rsidTr="0056131D">
        <w:trPr>
          <w:trHeight w:val="63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AEA3C50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18BFAD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545454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Our city will promote </w:t>
            </w:r>
            <w:r w:rsidRPr="00D47A71">
              <w:rPr>
                <w:rFonts w:eastAsia="Times New Roman" w:cs="Arial"/>
                <w:b/>
                <w:bCs/>
                <w:color w:val="545454"/>
                <w:sz w:val="22"/>
                <w:lang w:eastAsia="en-GB"/>
              </w:rPr>
              <w:t xml:space="preserve">compassionate </w:t>
            </w:r>
            <w:proofErr w:type="gramStart"/>
            <w:r w:rsidRPr="00D47A71">
              <w:rPr>
                <w:rFonts w:eastAsia="Times New Roman" w:cs="Arial"/>
                <w:b/>
                <w:bCs/>
                <w:color w:val="545454"/>
                <w:sz w:val="22"/>
                <w:lang w:eastAsia="en-GB"/>
              </w:rPr>
              <w:t>communities</w:t>
            </w:r>
            <w:proofErr w:type="gramEnd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 programmes to engage neighbourhoods and local streets in direct care activities for their local residents living with health crisis, ageing, caregiving, and grief.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7E1801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F6BB521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21099DE" w14:textId="77777777" w:rsidR="00263C34" w:rsidRPr="00D47A71" w:rsidRDefault="00263C34" w:rsidP="0056131D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6131D" w:rsidRPr="00D47A71" w14:paraId="2D5B96BB" w14:textId="77777777" w:rsidTr="0056131D">
        <w:trPr>
          <w:trHeight w:val="123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6D39C4D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201F19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545454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Our city will create an </w:t>
            </w:r>
            <w:r w:rsidRPr="00D47A71">
              <w:rPr>
                <w:rFonts w:eastAsia="Times New Roman" w:cs="Arial"/>
                <w:b/>
                <w:bCs/>
                <w:color w:val="545454"/>
                <w:sz w:val="22"/>
                <w:lang w:eastAsia="en-GB"/>
              </w:rPr>
              <w:t>incentives scheme</w:t>
            </w:r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 to celebrate and highlight the most creative compassionate organization, event, and individual/s. The scheme will take the form of an annual award administered by a committee drawn from the </w:t>
            </w:r>
            <w:proofErr w:type="gramStart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>end of life</w:t>
            </w:r>
            <w:proofErr w:type="gramEnd"/>
            <w:r w:rsidRPr="00D47A71">
              <w:rPr>
                <w:rFonts w:eastAsia="Times New Roman" w:cs="Arial"/>
                <w:color w:val="545454"/>
                <w:sz w:val="22"/>
                <w:lang w:eastAsia="en-GB"/>
              </w:rPr>
              <w:t xml:space="preserve"> care sector. A ‘Mayors Prize’ will recognize individual/s for that year those who most exemplify the city’s values of compassionate care.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55D5EC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DFCC8C1" w14:textId="77777777" w:rsidR="00263C34" w:rsidRPr="00D47A71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5AE5E12" w14:textId="77777777" w:rsidR="00263C34" w:rsidRPr="00D47A71" w:rsidRDefault="00263C34" w:rsidP="0056131D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D47A71">
              <w:rPr>
                <w:rFonts w:eastAsia="Times New Roman" w:cs="Arial"/>
                <w:color w:val="000000"/>
                <w:sz w:val="22"/>
                <w:lang w:eastAsia="en-GB"/>
              </w:rPr>
              <w:t> </w:t>
            </w:r>
          </w:p>
        </w:tc>
      </w:tr>
      <w:tr w:rsidR="0056131D" w:rsidRPr="00305D0C" w14:paraId="2A324ABA" w14:textId="77777777" w:rsidTr="0056131D">
        <w:trPr>
          <w:trHeight w:val="153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DB254A2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b/>
                <w:bCs/>
                <w:color w:val="000000"/>
                <w:lang w:eastAsia="en-GB"/>
              </w:rPr>
              <w:lastRenderedPageBreak/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659661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545454"/>
                <w:lang w:eastAsia="en-GB"/>
              </w:rPr>
            </w:pPr>
            <w:r w:rsidRPr="00305D0C">
              <w:rPr>
                <w:rFonts w:eastAsia="Times New Roman" w:cs="Arial"/>
                <w:color w:val="545454"/>
                <w:lang w:eastAsia="en-GB"/>
              </w:rPr>
              <w:t xml:space="preserve">Our city will publicly showcase, in </w:t>
            </w:r>
            <w:r w:rsidRPr="00305D0C">
              <w:rPr>
                <w:rFonts w:eastAsia="Times New Roman" w:cs="Arial"/>
                <w:b/>
                <w:bCs/>
                <w:color w:val="545454"/>
                <w:lang w:eastAsia="en-GB"/>
              </w:rPr>
              <w:t>print and in social media</w:t>
            </w:r>
            <w:r w:rsidRPr="00305D0C">
              <w:rPr>
                <w:rFonts w:eastAsia="Times New Roman" w:cs="Arial"/>
                <w:color w:val="545454"/>
                <w:lang w:eastAsia="en-GB"/>
              </w:rPr>
              <w:t>, our l</w:t>
            </w:r>
            <w:r w:rsidRPr="00305D0C">
              <w:rPr>
                <w:rFonts w:eastAsia="Times New Roman" w:cs="Arial"/>
                <w:b/>
                <w:bCs/>
                <w:color w:val="545454"/>
                <w:lang w:eastAsia="en-GB"/>
              </w:rPr>
              <w:t>ocal government policies, services</w:t>
            </w:r>
            <w:r w:rsidRPr="00305D0C">
              <w:rPr>
                <w:rFonts w:eastAsia="Times New Roman" w:cs="Arial"/>
                <w:color w:val="545454"/>
                <w:lang w:eastAsia="en-GB"/>
              </w:rPr>
              <w:t xml:space="preserve">, funding opportunities, partnerships, and public events that address ‘our compassionate concerns’ with living with ageing, life-threatening and life-limiting illness, loss and bereavement, and </w:t>
            </w:r>
            <w:proofErr w:type="gramStart"/>
            <w:r w:rsidRPr="00305D0C">
              <w:rPr>
                <w:rFonts w:eastAsia="Times New Roman" w:cs="Arial"/>
                <w:color w:val="545454"/>
                <w:lang w:eastAsia="en-GB"/>
              </w:rPr>
              <w:t>long term</w:t>
            </w:r>
            <w:proofErr w:type="gramEnd"/>
            <w:r w:rsidRPr="00305D0C">
              <w:rPr>
                <w:rFonts w:eastAsia="Times New Roman" w:cs="Arial"/>
                <w:color w:val="545454"/>
                <w:lang w:eastAsia="en-GB"/>
              </w:rPr>
              <w:t xml:space="preserve"> caring. All </w:t>
            </w:r>
            <w:proofErr w:type="gramStart"/>
            <w:r w:rsidRPr="00305D0C">
              <w:rPr>
                <w:rFonts w:eastAsia="Times New Roman" w:cs="Arial"/>
                <w:color w:val="545454"/>
                <w:lang w:eastAsia="en-GB"/>
              </w:rPr>
              <w:t>end of life</w:t>
            </w:r>
            <w:proofErr w:type="gramEnd"/>
            <w:r w:rsidRPr="00305D0C">
              <w:rPr>
                <w:rFonts w:eastAsia="Times New Roman" w:cs="Arial"/>
                <w:color w:val="545454"/>
                <w:lang w:eastAsia="en-GB"/>
              </w:rPr>
              <w:t xml:space="preserve"> care-related services within the city limits will be encouraged to distribute this material or these web links including veterinarians and funeral organizations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46E4AD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3BF87BC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5C6E454" w14:textId="77777777" w:rsidR="00263C34" w:rsidRPr="00305D0C" w:rsidRDefault="00263C34" w:rsidP="0056131D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  <w:tr w:rsidR="0056131D" w:rsidRPr="00305D0C" w14:paraId="75B6DC26" w14:textId="77777777" w:rsidTr="0056131D">
        <w:trPr>
          <w:trHeight w:val="63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6697DBC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099007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545454"/>
                <w:lang w:eastAsia="en-GB"/>
              </w:rPr>
            </w:pPr>
            <w:r w:rsidRPr="00305D0C">
              <w:rPr>
                <w:rFonts w:eastAsia="Times New Roman" w:cs="Arial"/>
                <w:color w:val="545454"/>
                <w:lang w:eastAsia="en-GB"/>
              </w:rPr>
              <w:t>Our city will work with local social or print media to encourage an </w:t>
            </w:r>
            <w:r w:rsidRPr="00305D0C">
              <w:rPr>
                <w:rFonts w:eastAsia="Times New Roman" w:cs="Arial"/>
                <w:b/>
                <w:bCs/>
                <w:color w:val="545454"/>
                <w:lang w:eastAsia="en-GB"/>
              </w:rPr>
              <w:t xml:space="preserve">annual city-wide short story or art competition </w:t>
            </w:r>
            <w:r w:rsidRPr="00305D0C">
              <w:rPr>
                <w:rFonts w:eastAsia="Times New Roman" w:cs="Arial"/>
                <w:color w:val="545454"/>
                <w:lang w:eastAsia="en-GB"/>
              </w:rPr>
              <w:t>that helps raise awareness of ageing, dying, death, loss, or caring.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E74A9D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1263C6E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E9282B" w14:textId="77777777" w:rsidR="00263C34" w:rsidRPr="00305D0C" w:rsidRDefault="00263C34" w:rsidP="0056131D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  <w:tr w:rsidR="0056131D" w:rsidRPr="00305D0C" w14:paraId="6DAAB778" w14:textId="77777777" w:rsidTr="0056131D">
        <w:trPr>
          <w:trHeight w:val="123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328989E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738DC9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545454"/>
                <w:lang w:eastAsia="en-GB"/>
              </w:rPr>
            </w:pPr>
            <w:r w:rsidRPr="00305D0C">
              <w:rPr>
                <w:rFonts w:eastAsia="Times New Roman" w:cs="Arial"/>
                <w:color w:val="545454"/>
                <w:lang w:eastAsia="en-GB"/>
              </w:rPr>
              <w:t>All our compassionate policies and services, and in the policies and practices of our official compassionate partners and alliances, will demonstrate an understanding of how </w:t>
            </w:r>
            <w:r w:rsidRPr="00305D0C">
              <w:rPr>
                <w:rFonts w:eastAsia="Times New Roman" w:cs="Arial"/>
                <w:b/>
                <w:bCs/>
                <w:color w:val="545454"/>
                <w:lang w:eastAsia="en-GB"/>
              </w:rPr>
              <w:t>diversity</w:t>
            </w:r>
            <w:r w:rsidRPr="00305D0C">
              <w:rPr>
                <w:rFonts w:eastAsia="Times New Roman" w:cs="Arial"/>
                <w:color w:val="545454"/>
                <w:lang w:eastAsia="en-GB"/>
              </w:rPr>
              <w:t xml:space="preserve"> shapes the experience of ageing, dying, death, </w:t>
            </w:r>
            <w:proofErr w:type="gramStart"/>
            <w:r w:rsidRPr="00305D0C">
              <w:rPr>
                <w:rFonts w:eastAsia="Times New Roman" w:cs="Arial"/>
                <w:color w:val="545454"/>
                <w:lang w:eastAsia="en-GB"/>
              </w:rPr>
              <w:t>loss</w:t>
            </w:r>
            <w:proofErr w:type="gramEnd"/>
            <w:r w:rsidRPr="00305D0C">
              <w:rPr>
                <w:rFonts w:eastAsia="Times New Roman" w:cs="Arial"/>
                <w:color w:val="545454"/>
                <w:lang w:eastAsia="en-GB"/>
              </w:rPr>
              <w:t xml:space="preserve"> and care – through ethnic, religious, gendered, and sexual identity and through the social experiences of poverty, inequality, and disenfranchisement.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132E31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5DFD3EE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6D25244" w14:textId="77777777" w:rsidR="00263C34" w:rsidRPr="00305D0C" w:rsidRDefault="00263C34" w:rsidP="0056131D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  <w:tr w:rsidR="0056131D" w:rsidRPr="00305D0C" w14:paraId="60382CA0" w14:textId="77777777" w:rsidTr="0056131D">
        <w:trPr>
          <w:trHeight w:val="63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4D5C59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DC8F95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545454"/>
                <w:lang w:eastAsia="en-GB"/>
              </w:rPr>
            </w:pPr>
            <w:r w:rsidRPr="00305D0C">
              <w:rPr>
                <w:rFonts w:eastAsia="Times New Roman" w:cs="Arial"/>
                <w:color w:val="545454"/>
                <w:lang w:eastAsia="en-GB"/>
              </w:rPr>
              <w:t xml:space="preserve">We will seek to encourage and to invite evidence that institutions for the homeless and the imprisoned have support plans in place for </w:t>
            </w:r>
            <w:proofErr w:type="gramStart"/>
            <w:r w:rsidRPr="00305D0C">
              <w:rPr>
                <w:rFonts w:eastAsia="Times New Roman" w:cs="Arial"/>
                <w:color w:val="545454"/>
                <w:lang w:eastAsia="en-GB"/>
              </w:rPr>
              <w:t>end of life</w:t>
            </w:r>
            <w:proofErr w:type="gramEnd"/>
            <w:r w:rsidRPr="00305D0C">
              <w:rPr>
                <w:rFonts w:eastAsia="Times New Roman" w:cs="Arial"/>
                <w:color w:val="545454"/>
                <w:lang w:eastAsia="en-GB"/>
              </w:rPr>
              <w:t xml:space="preserve"> care and loss and bereavement.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7D2B63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F629CB" w14:textId="77777777" w:rsidR="00263C34" w:rsidRPr="00305D0C" w:rsidRDefault="00263C34" w:rsidP="00263C34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5AE0665" w14:textId="77777777" w:rsidR="00263C34" w:rsidRPr="00305D0C" w:rsidRDefault="00263C34" w:rsidP="0056131D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305D0C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</w:tbl>
    <w:p w14:paraId="6614F174" w14:textId="77777777" w:rsidR="00263C34" w:rsidRPr="00305D0C" w:rsidRDefault="00263C34" w:rsidP="00D47A71">
      <w:pPr>
        <w:rPr>
          <w:rFonts w:cs="Arial"/>
        </w:rPr>
      </w:pPr>
    </w:p>
    <w:sectPr w:rsidR="00263C34" w:rsidRPr="00305D0C" w:rsidSect="00DB3898">
      <w:pgSz w:w="16838" w:h="11906" w:orient="landscape"/>
      <w:pgMar w:top="1440" w:right="1440" w:bottom="1440" w:left="709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171C" w14:textId="77777777" w:rsidR="00DB3898" w:rsidRDefault="00DB3898" w:rsidP="005079DE">
      <w:pPr>
        <w:spacing w:after="0" w:line="240" w:lineRule="auto"/>
      </w:pPr>
      <w:r>
        <w:separator/>
      </w:r>
    </w:p>
  </w:endnote>
  <w:endnote w:type="continuationSeparator" w:id="0">
    <w:p w14:paraId="5FE8CDC3" w14:textId="77777777" w:rsidR="00DB3898" w:rsidRDefault="00DB3898" w:rsidP="005079DE">
      <w:pPr>
        <w:spacing w:after="0" w:line="240" w:lineRule="auto"/>
      </w:pPr>
      <w:r>
        <w:continuationSeparator/>
      </w:r>
    </w:p>
  </w:endnote>
  <w:endnote w:id="1">
    <w:p w14:paraId="21AD85B2" w14:textId="3E5DEC7C" w:rsidR="00D47A71" w:rsidRPr="00D47A71" w:rsidRDefault="00D47A71">
      <w:pPr>
        <w:pStyle w:val="EndnoteText"/>
        <w:rPr>
          <w:i/>
          <w:sz w:val="22"/>
          <w:szCs w:val="22"/>
        </w:rPr>
      </w:pPr>
      <w:r>
        <w:rPr>
          <w:rStyle w:val="EndnoteReference"/>
        </w:rPr>
        <w:endnoteRef/>
      </w:r>
      <w:r w:rsidRPr="00D47A71">
        <w:rPr>
          <w:rFonts w:cs="Arial"/>
        </w:rPr>
        <w:t xml:space="preserve"> Kellehear</w:t>
      </w:r>
      <w:r>
        <w:rPr>
          <w:rFonts w:cs="Arial"/>
          <w:sz w:val="22"/>
          <w:szCs w:val="22"/>
        </w:rPr>
        <w:t xml:space="preserve"> A., (2005) Compassionate Cities : Public Health and End of Life Care. </w:t>
      </w:r>
      <w:r>
        <w:rPr>
          <w:rFonts w:cs="Arial"/>
          <w:i/>
          <w:sz w:val="22"/>
          <w:szCs w:val="22"/>
        </w:rPr>
        <w:t>Routledge, Oxfordshire</w:t>
      </w:r>
    </w:p>
  </w:endnote>
  <w:endnote w:id="2">
    <w:p w14:paraId="47F05182" w14:textId="77777777" w:rsidR="00CB607C" w:rsidRDefault="00CB607C" w:rsidP="00D47A71">
      <w:pPr>
        <w:shd w:val="clear" w:color="auto" w:fill="FFFFFF"/>
        <w:spacing w:after="0" w:afterAutospacing="1" w:line="240" w:lineRule="auto"/>
        <w:rPr>
          <w:rFonts w:cs="Arial"/>
          <w:color w:val="333333"/>
        </w:rPr>
      </w:pPr>
      <w:r w:rsidRPr="00D47A71">
        <w:rPr>
          <w:rStyle w:val="EndnoteReference"/>
          <w:sz w:val="22"/>
        </w:rPr>
        <w:endnoteRef/>
      </w:r>
      <w:r w:rsidRPr="00D47A71">
        <w:rPr>
          <w:sz w:val="22"/>
        </w:rPr>
        <w:t xml:space="preserve"> </w:t>
      </w:r>
      <w:r w:rsidRPr="00D47A71">
        <w:rPr>
          <w:rStyle w:val="authors"/>
          <w:rFonts w:cs="Arial"/>
          <w:color w:val="333333"/>
          <w:sz w:val="22"/>
        </w:rPr>
        <w:t>Libby Sallnow &amp; Sally Paul</w:t>
      </w:r>
      <w:r w:rsidRPr="00D47A71">
        <w:rPr>
          <w:rFonts w:cs="Arial"/>
          <w:color w:val="333333"/>
          <w:sz w:val="22"/>
        </w:rPr>
        <w:t> </w:t>
      </w:r>
      <w:r w:rsidRPr="00D47A71">
        <w:rPr>
          <w:rStyle w:val="Date1"/>
          <w:rFonts w:cs="Arial"/>
          <w:color w:val="333333"/>
          <w:sz w:val="22"/>
        </w:rPr>
        <w:t>(2015)</w:t>
      </w:r>
      <w:r w:rsidRPr="00D47A71">
        <w:rPr>
          <w:rFonts w:cs="Arial"/>
          <w:color w:val="333333"/>
          <w:sz w:val="22"/>
        </w:rPr>
        <w:t> </w:t>
      </w:r>
      <w:r w:rsidRPr="00D47A71">
        <w:rPr>
          <w:rStyle w:val="arttitle"/>
          <w:rFonts w:cs="Arial"/>
          <w:color w:val="333333"/>
          <w:sz w:val="22"/>
        </w:rPr>
        <w:t>Understanding community engagement in end-of-life care: developing conceptual clarity,</w:t>
      </w:r>
      <w:r w:rsidRPr="00D47A71">
        <w:rPr>
          <w:rFonts w:cs="Arial"/>
          <w:color w:val="333333"/>
          <w:sz w:val="22"/>
        </w:rPr>
        <w:t> </w:t>
      </w:r>
      <w:r w:rsidRPr="00D47A71">
        <w:rPr>
          <w:rStyle w:val="serialtitle"/>
          <w:rFonts w:cs="Arial"/>
          <w:color w:val="333333"/>
          <w:sz w:val="22"/>
        </w:rPr>
        <w:t>Critical Public Health,</w:t>
      </w:r>
      <w:r w:rsidRPr="00D47A71">
        <w:rPr>
          <w:rFonts w:cs="Arial"/>
          <w:color w:val="333333"/>
          <w:sz w:val="22"/>
        </w:rPr>
        <w:t> </w:t>
      </w:r>
      <w:r w:rsidRPr="00D47A71">
        <w:rPr>
          <w:rStyle w:val="volumeissue"/>
          <w:rFonts w:cs="Arial"/>
          <w:color w:val="333333"/>
          <w:sz w:val="22"/>
        </w:rPr>
        <w:t>25:2,</w:t>
      </w:r>
      <w:r w:rsidRPr="00D47A71">
        <w:rPr>
          <w:rFonts w:cs="Arial"/>
          <w:color w:val="333333"/>
          <w:sz w:val="22"/>
        </w:rPr>
        <w:t> </w:t>
      </w:r>
      <w:r w:rsidRPr="00D47A71">
        <w:rPr>
          <w:rStyle w:val="pagerange"/>
          <w:rFonts w:cs="Arial"/>
          <w:color w:val="333333"/>
          <w:sz w:val="22"/>
        </w:rPr>
        <w:t>231-238,</w:t>
      </w:r>
      <w:r w:rsidRPr="00D47A71">
        <w:rPr>
          <w:rFonts w:cs="Arial"/>
          <w:color w:val="333333"/>
          <w:sz w:val="22"/>
        </w:rPr>
        <w:t> </w:t>
      </w:r>
      <w:r w:rsidRPr="00D47A71">
        <w:rPr>
          <w:rStyle w:val="doilink"/>
          <w:rFonts w:cs="Arial"/>
          <w:color w:val="333333"/>
          <w:sz w:val="22"/>
        </w:rPr>
        <w:t>DOI: </w:t>
      </w:r>
      <w:hyperlink r:id="rId1" w:history="1">
        <w:r>
          <w:rPr>
            <w:rStyle w:val="Hyperlink"/>
            <w:rFonts w:cs="Arial"/>
            <w:color w:val="333333"/>
          </w:rPr>
          <w:t>10.1080/09581596.2014.909582</w:t>
        </w:r>
      </w:hyperlink>
    </w:p>
    <w:p w14:paraId="4C18260C" w14:textId="077C2C4F" w:rsidR="00CB607C" w:rsidRDefault="00CB607C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C2B7" w14:textId="04261C5D" w:rsidR="00733F4E" w:rsidRDefault="00733F4E">
    <w:pPr>
      <w:pStyle w:val="Footer"/>
    </w:pPr>
    <w:r>
      <w:tab/>
    </w:r>
    <w:r>
      <w:tab/>
    </w:r>
    <w:r w:rsidR="00BE5DA9">
      <w:t xml:space="preserve">February </w:t>
    </w:r>
    <w:proofErr w:type="gramStart"/>
    <w:r w:rsidR="00BE5DA9">
      <w:t xml:space="preserve">2022 </w:t>
    </w:r>
    <w:r w:rsidR="00552B8D">
      <w:t xml:space="preserve"> V</w:t>
    </w:r>
    <w:proofErr w:type="gramEnd"/>
    <w:r w:rsidR="00BE5DA9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A39AE" w14:textId="77777777" w:rsidR="00DB3898" w:rsidRDefault="00DB3898" w:rsidP="005079DE">
      <w:pPr>
        <w:spacing w:after="0" w:line="240" w:lineRule="auto"/>
      </w:pPr>
      <w:r>
        <w:separator/>
      </w:r>
    </w:p>
  </w:footnote>
  <w:footnote w:type="continuationSeparator" w:id="0">
    <w:p w14:paraId="1F9A19CC" w14:textId="77777777" w:rsidR="00DB3898" w:rsidRDefault="00DB3898" w:rsidP="00507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EE0"/>
    <w:multiLevelType w:val="multilevel"/>
    <w:tmpl w:val="2820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F0A99"/>
    <w:multiLevelType w:val="hybridMultilevel"/>
    <w:tmpl w:val="5F4C569C"/>
    <w:lvl w:ilvl="0" w:tplc="08090013">
      <w:start w:val="1"/>
      <w:numFmt w:val="upperRoman"/>
      <w:lvlText w:val="%1."/>
      <w:lvlJc w:val="right"/>
      <w:pPr>
        <w:ind w:left="-1080" w:hanging="360"/>
      </w:pPr>
    </w:lvl>
    <w:lvl w:ilvl="1" w:tplc="08090019" w:tentative="1">
      <w:start w:val="1"/>
      <w:numFmt w:val="lowerLetter"/>
      <w:lvlText w:val="%2."/>
      <w:lvlJc w:val="left"/>
      <w:pPr>
        <w:ind w:left="-360" w:hanging="360"/>
      </w:pPr>
    </w:lvl>
    <w:lvl w:ilvl="2" w:tplc="0809001B" w:tentative="1">
      <w:start w:val="1"/>
      <w:numFmt w:val="lowerRoman"/>
      <w:lvlText w:val="%3."/>
      <w:lvlJc w:val="right"/>
      <w:pPr>
        <w:ind w:left="360" w:hanging="180"/>
      </w:pPr>
    </w:lvl>
    <w:lvl w:ilvl="3" w:tplc="0809000F" w:tentative="1">
      <w:start w:val="1"/>
      <w:numFmt w:val="decimal"/>
      <w:lvlText w:val="%4."/>
      <w:lvlJc w:val="left"/>
      <w:pPr>
        <w:ind w:left="1080" w:hanging="360"/>
      </w:pPr>
    </w:lvl>
    <w:lvl w:ilvl="4" w:tplc="08090019" w:tentative="1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" w15:restartNumberingAfterBreak="0">
    <w:nsid w:val="1EB24967"/>
    <w:multiLevelType w:val="hybridMultilevel"/>
    <w:tmpl w:val="2D407B2A"/>
    <w:lvl w:ilvl="0" w:tplc="B06805EA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B5215"/>
    <w:multiLevelType w:val="hybridMultilevel"/>
    <w:tmpl w:val="0E3C8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F0C7D"/>
    <w:multiLevelType w:val="hybridMultilevel"/>
    <w:tmpl w:val="74C42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D5D80"/>
    <w:multiLevelType w:val="hybridMultilevel"/>
    <w:tmpl w:val="98E41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954438"/>
    <w:multiLevelType w:val="hybridMultilevel"/>
    <w:tmpl w:val="C3F04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67821"/>
    <w:multiLevelType w:val="hybridMultilevel"/>
    <w:tmpl w:val="C85E36C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E1FE6"/>
    <w:multiLevelType w:val="hybridMultilevel"/>
    <w:tmpl w:val="4BA8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2795102">
    <w:abstractNumId w:val="2"/>
  </w:num>
  <w:num w:numId="2" w16cid:durableId="1139765762">
    <w:abstractNumId w:val="1"/>
  </w:num>
  <w:num w:numId="3" w16cid:durableId="2108847869">
    <w:abstractNumId w:val="7"/>
  </w:num>
  <w:num w:numId="4" w16cid:durableId="364525373">
    <w:abstractNumId w:val="3"/>
  </w:num>
  <w:num w:numId="5" w16cid:durableId="189690831">
    <w:abstractNumId w:val="6"/>
  </w:num>
  <w:num w:numId="6" w16cid:durableId="1910922372">
    <w:abstractNumId w:val="0"/>
  </w:num>
  <w:num w:numId="7" w16cid:durableId="414130165">
    <w:abstractNumId w:val="4"/>
  </w:num>
  <w:num w:numId="8" w16cid:durableId="1677029632">
    <w:abstractNumId w:val="8"/>
  </w:num>
  <w:num w:numId="9" w16cid:durableId="1051466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DE"/>
    <w:rsid w:val="000163C1"/>
    <w:rsid w:val="000461A7"/>
    <w:rsid w:val="000A4AE9"/>
    <w:rsid w:val="000E0CB0"/>
    <w:rsid w:val="000E347D"/>
    <w:rsid w:val="00122E31"/>
    <w:rsid w:val="001318AD"/>
    <w:rsid w:val="001910E3"/>
    <w:rsid w:val="001E1881"/>
    <w:rsid w:val="001E6EAD"/>
    <w:rsid w:val="001F739C"/>
    <w:rsid w:val="002629F6"/>
    <w:rsid w:val="00263C34"/>
    <w:rsid w:val="0026431E"/>
    <w:rsid w:val="002A652C"/>
    <w:rsid w:val="00305D0C"/>
    <w:rsid w:val="00335DD9"/>
    <w:rsid w:val="003D0C75"/>
    <w:rsid w:val="003D0FE8"/>
    <w:rsid w:val="00410272"/>
    <w:rsid w:val="00417A1E"/>
    <w:rsid w:val="00425760"/>
    <w:rsid w:val="005079DE"/>
    <w:rsid w:val="00550E1E"/>
    <w:rsid w:val="00552B8D"/>
    <w:rsid w:val="0056131D"/>
    <w:rsid w:val="005B384C"/>
    <w:rsid w:val="005F45BF"/>
    <w:rsid w:val="00612748"/>
    <w:rsid w:val="00667F75"/>
    <w:rsid w:val="00671FDD"/>
    <w:rsid w:val="006E458C"/>
    <w:rsid w:val="006F2535"/>
    <w:rsid w:val="00711C06"/>
    <w:rsid w:val="00733F4E"/>
    <w:rsid w:val="007B0322"/>
    <w:rsid w:val="008B3588"/>
    <w:rsid w:val="008D6037"/>
    <w:rsid w:val="009129F1"/>
    <w:rsid w:val="0098335F"/>
    <w:rsid w:val="00992C7A"/>
    <w:rsid w:val="009F56CE"/>
    <w:rsid w:val="00A03CA8"/>
    <w:rsid w:val="00A94826"/>
    <w:rsid w:val="00AB4B56"/>
    <w:rsid w:val="00B51FBF"/>
    <w:rsid w:val="00BE1F93"/>
    <w:rsid w:val="00BE5DA9"/>
    <w:rsid w:val="00C1656E"/>
    <w:rsid w:val="00C209B7"/>
    <w:rsid w:val="00C42F5A"/>
    <w:rsid w:val="00C56E91"/>
    <w:rsid w:val="00CB0413"/>
    <w:rsid w:val="00CB607C"/>
    <w:rsid w:val="00D21FC2"/>
    <w:rsid w:val="00D47A71"/>
    <w:rsid w:val="00D5346A"/>
    <w:rsid w:val="00D80B8B"/>
    <w:rsid w:val="00DA3959"/>
    <w:rsid w:val="00DB3898"/>
    <w:rsid w:val="00DC2A7C"/>
    <w:rsid w:val="00DC34CA"/>
    <w:rsid w:val="00DF1C3C"/>
    <w:rsid w:val="00EC5710"/>
    <w:rsid w:val="00F81822"/>
    <w:rsid w:val="00F90F3A"/>
    <w:rsid w:val="00FA072C"/>
    <w:rsid w:val="00FC419D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D4EC5"/>
  <w15:docId w15:val="{EB3B7CC9-E654-475C-B117-6EA71264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7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A71"/>
    <w:pPr>
      <w:keepNext/>
      <w:keepLines/>
      <w:numPr>
        <w:numId w:val="1"/>
      </w:numPr>
      <w:spacing w:before="240" w:after="240"/>
      <w:ind w:left="357" w:hanging="357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C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79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9DE"/>
  </w:style>
  <w:style w:type="paragraph" w:styleId="Footer">
    <w:name w:val="footer"/>
    <w:basedOn w:val="Normal"/>
    <w:link w:val="FooterChar"/>
    <w:uiPriority w:val="99"/>
    <w:unhideWhenUsed/>
    <w:rsid w:val="005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9DE"/>
  </w:style>
  <w:style w:type="character" w:customStyle="1" w:styleId="Heading1Char">
    <w:name w:val="Heading 1 Char"/>
    <w:basedOn w:val="DefaultParagraphFont"/>
    <w:link w:val="Heading1"/>
    <w:uiPriority w:val="9"/>
    <w:rsid w:val="00D47A71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79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079DE"/>
    <w:pPr>
      <w:numPr>
        <w:numId w:val="0"/>
      </w:numPr>
      <w:spacing w:after="0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079D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079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A1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92C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C2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A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A7C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60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60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607C"/>
    <w:rPr>
      <w:vertAlign w:val="superscript"/>
    </w:rPr>
  </w:style>
  <w:style w:type="character" w:customStyle="1" w:styleId="authors">
    <w:name w:val="authors"/>
    <w:basedOn w:val="DefaultParagraphFont"/>
    <w:rsid w:val="00CB607C"/>
  </w:style>
  <w:style w:type="character" w:customStyle="1" w:styleId="Date1">
    <w:name w:val="Date1"/>
    <w:basedOn w:val="DefaultParagraphFont"/>
    <w:rsid w:val="00CB607C"/>
  </w:style>
  <w:style w:type="character" w:customStyle="1" w:styleId="arttitle">
    <w:name w:val="art_title"/>
    <w:basedOn w:val="DefaultParagraphFont"/>
    <w:rsid w:val="00CB607C"/>
  </w:style>
  <w:style w:type="character" w:customStyle="1" w:styleId="serialtitle">
    <w:name w:val="serial_title"/>
    <w:basedOn w:val="DefaultParagraphFont"/>
    <w:rsid w:val="00CB607C"/>
  </w:style>
  <w:style w:type="character" w:customStyle="1" w:styleId="volumeissue">
    <w:name w:val="volume_issue"/>
    <w:basedOn w:val="DefaultParagraphFont"/>
    <w:rsid w:val="00CB607C"/>
  </w:style>
  <w:style w:type="character" w:customStyle="1" w:styleId="pagerange">
    <w:name w:val="page_range"/>
    <w:basedOn w:val="DefaultParagraphFont"/>
    <w:rsid w:val="00CB607C"/>
  </w:style>
  <w:style w:type="character" w:customStyle="1" w:styleId="doilink">
    <w:name w:val="doi_link"/>
    <w:basedOn w:val="DefaultParagraphFont"/>
    <w:rsid w:val="00CB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mpassionate-communitiesuk.co.uk/the-compassionate-city-chart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080/09581596.2014.909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C829576C9F142A465DC71917B11DA" ma:contentTypeVersion="10" ma:contentTypeDescription="Create a new document." ma:contentTypeScope="" ma:versionID="fb31dfada0f2e7b291466380a8df85b3">
  <xsd:schema xmlns:xsd="http://www.w3.org/2001/XMLSchema" xmlns:xs="http://www.w3.org/2001/XMLSchema" xmlns:p="http://schemas.microsoft.com/office/2006/metadata/properties" xmlns:ns2="3610ca97-65b3-4027-a0b9-d4c9b216de32" targetNamespace="http://schemas.microsoft.com/office/2006/metadata/properties" ma:root="true" ma:fieldsID="6b187a36a27cccf2d977a886f53806e3" ns2:_="">
    <xsd:import namespace="3610ca97-65b3-4027-a0b9-d4c9b216d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0ca97-65b3-4027-a0b9-d4c9b216d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7336C-F825-403F-A0E4-7DA6F7F8B3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FAAC4-D225-4320-83D0-CF1A10789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DD940-04DC-4754-91C7-92B78003B1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92C9AF-1755-4086-9CED-1ED3E3A5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0ca97-65b3-4027-a0b9-d4c9b216d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2107</Words>
  <Characters>11552</Characters>
  <Application>Microsoft Office Word</Application>
  <DocSecurity>0</DocSecurity>
  <Lines>372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Giles Hospice</Company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Hodges</dc:creator>
  <cp:lastModifiedBy>Garth Murphy</cp:lastModifiedBy>
  <cp:revision>5</cp:revision>
  <dcterms:created xsi:type="dcterms:W3CDTF">2022-07-01T18:36:00Z</dcterms:created>
  <dcterms:modified xsi:type="dcterms:W3CDTF">2024-02-13T14:16:00Z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0x010100BD7C829576C9F142A465DC71917B11DA</vt:lpwstr>
  </property>
  <property fmtid="{D5CDD505-2E9C-101B-9397-08002B2CF9AE}" pid="3" name="_AdHocReviewCycleID">
    <vt:i4>-658805303</vt:i4>
  </property>
  <property fmtid="{D5CDD505-2E9C-101B-9397-08002B2CF9AE}" pid="4" name="_NewReviewCycle">
    <vt:lpwstr/>
  </property>
  <property fmtid="{D5CDD505-2E9C-101B-9397-08002B2CF9AE}" pid="5" name="_EmailSubject">
    <vt:lpwstr>Compassionate City </vt:lpwstr>
  </property>
  <property fmtid="{D5CDD505-2E9C-101B-9397-08002B2CF9AE}" pid="6" name="_AuthorEmail">
    <vt:lpwstr>Simon.Betteridge@uhcw.nhs.uk</vt:lpwstr>
  </property>
  <property fmtid="{D5CDD505-2E9C-101B-9397-08002B2CF9AE}" pid="7" name="_AuthorEmailDisplayName">
    <vt:lpwstr>Betteridge Simon (RKB) Head of Compassionate Community Development</vt:lpwstr>
  </property>
  <property fmtid="{D5CDD505-2E9C-101B-9397-08002B2CF9AE}" pid="8" name="_ReviewingToolsShownOnce">
    <vt:lpwstr/>
  </property>
</Properties>
</file>